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b/>
          <w:bCs/>
          <w:sz w:val="52"/>
          <w:szCs w:val="52"/>
        </w:rPr>
      </w:pPr>
      <w:r>
        <w:rPr>
          <w:rFonts w:ascii="宋体" w:hAnsi="宋体"/>
          <w:b/>
          <w:bCs/>
          <w:sz w:val="52"/>
          <w:szCs w:val="52"/>
        </w:rPr>
        <w:t>2024</w:t>
      </w:r>
      <w:r>
        <w:rPr>
          <w:rFonts w:hint="eastAsia" w:ascii="宋体" w:hAnsi="宋体"/>
          <w:b/>
          <w:bCs/>
          <w:sz w:val="52"/>
          <w:szCs w:val="52"/>
        </w:rPr>
        <w:t>年度内蒙古巴彦淖尔市中共磴口县委员会机构编制委员会办公室</w:t>
      </w:r>
    </w:p>
    <w:p>
      <w:pPr>
        <w:spacing w:line="360" w:lineRule="auto"/>
        <w:jc w:val="center"/>
        <w:rPr>
          <w:rFonts w:ascii="宋体" w:hAnsi="宋体"/>
          <w:b/>
          <w:bCs/>
          <w:sz w:val="52"/>
          <w:szCs w:val="52"/>
        </w:rPr>
      </w:pPr>
      <w:r>
        <w:rPr>
          <w:rFonts w:hint="eastAsia" w:ascii="宋体" w:hAnsi="宋体"/>
          <w:b/>
          <w:bCs/>
          <w:sz w:val="52"/>
          <w:szCs w:val="52"/>
          <w:lang w:val="en-US" w:eastAsia="zh-CN"/>
        </w:rPr>
        <w:t>部门决算</w:t>
      </w:r>
      <w:r>
        <w:rPr>
          <w:rFonts w:hint="eastAsia" w:ascii="宋体" w:hAnsi="宋体"/>
          <w:b/>
          <w:bCs/>
          <w:sz w:val="52"/>
          <w:szCs w:val="52"/>
        </w:rPr>
        <w:t>公开报告</w:t>
      </w:r>
    </w:p>
    <w:p>
      <w:pPr>
        <w:spacing w:line="360" w:lineRule="auto"/>
        <w:jc w:val="center"/>
        <w:rPr>
          <w:rFonts w:ascii="宋体" w:hAnsi="宋体"/>
          <w:b/>
          <w:bCs/>
          <w:sz w:val="52"/>
          <w:szCs w:val="52"/>
        </w:rPr>
      </w:pPr>
    </w:p>
    <w:p>
      <w:pPr>
        <w:spacing w:line="360" w:lineRule="auto"/>
        <w:ind w:left="5114" w:leftChars="1064" w:hanging="2880" w:hangingChars="900"/>
        <w:jc w:val="left"/>
        <w:rPr>
          <w:rFonts w:hint="eastAsia" w:ascii="宋体" w:hAnsi="宋体"/>
          <w:sz w:val="32"/>
          <w:szCs w:val="32"/>
        </w:rPr>
      </w:pPr>
    </w:p>
    <w:p>
      <w:pPr>
        <w:spacing w:line="360" w:lineRule="auto"/>
        <w:ind w:left="5114" w:leftChars="1064" w:hanging="2880" w:hangingChars="900"/>
        <w:jc w:val="left"/>
        <w:rPr>
          <w:rFonts w:hint="eastAsia" w:ascii="宋体" w:hAnsi="宋体"/>
          <w:sz w:val="32"/>
          <w:szCs w:val="32"/>
        </w:rPr>
      </w:pPr>
    </w:p>
    <w:p>
      <w:pPr>
        <w:spacing w:line="360" w:lineRule="auto"/>
        <w:ind w:left="5114" w:leftChars="1064" w:hanging="2880" w:hangingChars="900"/>
        <w:jc w:val="left"/>
        <w:rPr>
          <w:rFonts w:ascii="宋体" w:hAnsi="宋体"/>
          <w:sz w:val="32"/>
          <w:szCs w:val="32"/>
        </w:rPr>
      </w:pPr>
      <w:r>
        <w:rPr>
          <w:rFonts w:hint="eastAsia" w:ascii="宋体" w:hAnsi="宋体"/>
          <w:sz w:val="32"/>
          <w:szCs w:val="32"/>
        </w:rPr>
        <w:t>部门（单位）名称：中共磴口县委员会机构编制委员会办公室（部门）</w:t>
      </w:r>
    </w:p>
    <w:p>
      <w:pPr>
        <w:spacing w:line="360" w:lineRule="auto"/>
        <w:ind w:firstLine="2240" w:firstLineChars="700"/>
        <w:jc w:val="left"/>
        <w:rPr>
          <w:rFonts w:hint="eastAsia" w:ascii="宋体" w:hAnsi="宋体" w:eastAsia="宋体"/>
          <w:sz w:val="32"/>
          <w:szCs w:val="32"/>
          <w:lang w:eastAsia="zh-CN"/>
        </w:rPr>
      </w:pPr>
      <w:r>
        <w:rPr>
          <w:rFonts w:hint="eastAsia" w:ascii="宋体" w:hAnsi="宋体"/>
          <w:sz w:val="32"/>
          <w:szCs w:val="32"/>
        </w:rPr>
        <w:t>单位负责人：</w:t>
      </w:r>
      <w:r>
        <w:rPr>
          <w:rFonts w:hint="eastAsia" w:ascii="宋体" w:hAnsi="宋体"/>
          <w:sz w:val="32"/>
          <w:szCs w:val="32"/>
          <w:lang w:val="en-US" w:eastAsia="zh-CN"/>
        </w:rPr>
        <w:t>吴战义</w:t>
      </w:r>
    </w:p>
    <w:p>
      <w:pPr>
        <w:spacing w:line="360" w:lineRule="auto"/>
        <w:ind w:firstLine="2240" w:firstLineChars="700"/>
        <w:jc w:val="left"/>
        <w:rPr>
          <w:rFonts w:ascii="宋体" w:hAnsi="宋体"/>
          <w:sz w:val="32"/>
          <w:szCs w:val="32"/>
        </w:rPr>
      </w:pPr>
      <w:r>
        <w:rPr>
          <w:rFonts w:hint="eastAsia" w:ascii="宋体" w:hAnsi="宋体"/>
          <w:sz w:val="32"/>
          <w:szCs w:val="32"/>
        </w:rPr>
        <w:t>财务负责人：魏旭军</w:t>
      </w:r>
    </w:p>
    <w:p>
      <w:pPr>
        <w:spacing w:line="360" w:lineRule="auto"/>
        <w:ind w:firstLine="2240" w:firstLineChars="700"/>
        <w:jc w:val="left"/>
        <w:rPr>
          <w:rFonts w:hint="eastAsia" w:ascii="宋体" w:hAnsi="宋体" w:eastAsia="宋体"/>
          <w:sz w:val="32"/>
          <w:szCs w:val="32"/>
          <w:lang w:val="en-US" w:eastAsia="zh-CN"/>
        </w:rPr>
      </w:pPr>
      <w:r>
        <w:rPr>
          <w:rFonts w:hint="eastAsia" w:ascii="宋体" w:hAnsi="宋体"/>
          <w:sz w:val="32"/>
          <w:szCs w:val="32"/>
        </w:rPr>
        <w:t>编</w:t>
      </w:r>
      <w:r>
        <w:rPr>
          <w:rFonts w:hint="eastAsia" w:ascii="宋体" w:hAnsi="宋体"/>
          <w:sz w:val="32"/>
          <w:szCs w:val="32"/>
          <w:lang w:val="en-US" w:eastAsia="zh-CN"/>
        </w:rPr>
        <w:t xml:space="preserve">  </w:t>
      </w:r>
      <w:r>
        <w:rPr>
          <w:rFonts w:hint="eastAsia" w:ascii="宋体" w:hAnsi="宋体"/>
          <w:sz w:val="32"/>
          <w:szCs w:val="32"/>
        </w:rPr>
        <w:t>制</w:t>
      </w:r>
      <w:r>
        <w:rPr>
          <w:rFonts w:hint="eastAsia" w:ascii="宋体" w:hAnsi="宋体"/>
          <w:sz w:val="32"/>
          <w:szCs w:val="32"/>
          <w:lang w:val="en-US" w:eastAsia="zh-CN"/>
        </w:rPr>
        <w:t xml:space="preserve">  </w:t>
      </w:r>
      <w:r>
        <w:rPr>
          <w:rFonts w:hint="eastAsia" w:ascii="宋体" w:hAnsi="宋体"/>
          <w:sz w:val="32"/>
          <w:szCs w:val="32"/>
        </w:rPr>
        <w:t>人：</w:t>
      </w:r>
      <w:r>
        <w:rPr>
          <w:rFonts w:hint="eastAsia" w:ascii="宋体" w:hAnsi="宋体"/>
          <w:sz w:val="32"/>
          <w:szCs w:val="32"/>
          <w:lang w:val="en-US" w:eastAsia="zh-CN"/>
        </w:rPr>
        <w:t>田  丰</w:t>
      </w:r>
    </w:p>
    <w:p>
      <w:pPr>
        <w:spacing w:line="360" w:lineRule="auto"/>
        <w:ind w:firstLine="2240" w:firstLineChars="700"/>
        <w:jc w:val="left"/>
        <w:rPr>
          <w:rFonts w:hint="default" w:ascii="仿宋" w:hAnsi="仿宋" w:eastAsia="仿宋"/>
          <w:b/>
          <w:sz w:val="32"/>
          <w:szCs w:val="32"/>
          <w:lang w:val="en-US"/>
        </w:rPr>
        <w:sectPr>
          <w:footerReference r:id="rId3" w:type="default"/>
          <w:pgSz w:w="11906" w:h="16838"/>
          <w:pgMar w:top="1440" w:right="1083" w:bottom="1440" w:left="1083" w:header="0" w:footer="720" w:gutter="0"/>
          <w:cols w:space="720" w:num="1"/>
          <w:docGrid w:type="lines" w:linePitch="312" w:charSpace="0"/>
        </w:sectPr>
      </w:pPr>
      <w:r>
        <w:rPr>
          <w:rFonts w:hint="eastAsia" w:ascii="宋体" w:hAnsi="宋体"/>
          <w:sz w:val="32"/>
          <w:szCs w:val="32"/>
        </w:rPr>
        <w:t>报送日期：</w:t>
      </w:r>
      <w:r>
        <w:rPr>
          <w:rFonts w:ascii="宋体" w:hAnsi="宋体"/>
          <w:sz w:val="32"/>
          <w:szCs w:val="32"/>
        </w:rPr>
        <w:t>202</w:t>
      </w:r>
      <w:r>
        <w:rPr>
          <w:rFonts w:hint="eastAsia" w:ascii="宋体" w:hAnsi="宋体"/>
          <w:sz w:val="32"/>
          <w:szCs w:val="32"/>
          <w:lang w:val="en-US" w:eastAsia="zh-CN"/>
        </w:rPr>
        <w:t>5</w:t>
      </w:r>
      <w:r>
        <w:rPr>
          <w:rFonts w:hint="eastAsia" w:ascii="宋体" w:hAnsi="宋体"/>
          <w:sz w:val="32"/>
          <w:szCs w:val="32"/>
        </w:rPr>
        <w:t>年</w:t>
      </w:r>
      <w:r>
        <w:rPr>
          <w:rFonts w:hint="eastAsia" w:ascii="宋体" w:hAnsi="宋体"/>
          <w:sz w:val="32"/>
          <w:szCs w:val="32"/>
          <w:lang w:val="en-US" w:eastAsia="zh-CN"/>
        </w:rPr>
        <w:t>9月</w:t>
      </w:r>
    </w:p>
    <w:p>
      <w:pPr>
        <w:widowControl/>
        <w:spacing w:after="240"/>
        <w:jc w:val="center"/>
        <w:rPr>
          <w:rFonts w:ascii="Times New Roman" w:hAnsi="Times New Roman" w:eastAsia="Times New Roman" w:cs="Times New Roman"/>
          <w:kern w:val="0"/>
          <w:sz w:val="24"/>
        </w:rPr>
      </w:pPr>
      <w:bookmarkStart w:id="0" w:name="a000"/>
      <w:r>
        <w:rPr>
          <w:rFonts w:ascii="仿宋_GB2312" w:hAnsi="仿宋_GB2312" w:eastAsia="仿宋_GB2312" w:cs="仿宋_GB2312"/>
          <w:b/>
          <w:bCs/>
          <w:kern w:val="0"/>
          <w:sz w:val="54"/>
          <w:szCs w:val="54"/>
        </w:rPr>
        <w:t>目 录</w:t>
      </w:r>
    </w:p>
    <w:p>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pPr>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firstLine="640" w:firstLineChars="200"/>
        <w:jc w:val="left"/>
        <w:textAlignment w:val="auto"/>
        <w:rPr>
          <w:rFonts w:hint="eastAsia" w:ascii="黑体" w:hAnsi="黑体" w:eastAsia="黑体" w:cs="Times New Roman"/>
          <w:color w:val="auto"/>
          <w:kern w:val="2"/>
          <w:sz w:val="32"/>
          <w:szCs w:val="22"/>
        </w:rPr>
      </w:pPr>
      <w:r>
        <w:rPr>
          <w:rFonts w:hint="eastAsia" w:ascii="黑体" w:hAnsi="黑体" w:eastAsia="黑体" w:cs="Times New Roman"/>
          <w:color w:val="auto"/>
          <w:kern w:val="2"/>
          <w:sz w:val="32"/>
          <w:szCs w:val="22"/>
        </w:rPr>
        <w:t>第一部分 部门概况</w:t>
      </w:r>
    </w:p>
    <w:p>
      <w:pPr>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firstLine="640" w:firstLineChars="200"/>
        <w:jc w:val="left"/>
        <w:textAlignment w:val="auto"/>
        <w:rPr>
          <w:rFonts w:hint="eastAsia" w:ascii="仿宋_GB2312" w:hAnsi="仿宋_GB2312" w:eastAsia="仿宋_GB2312" w:cs="Times New Roman"/>
          <w:color w:val="auto"/>
          <w:kern w:val="2"/>
          <w:sz w:val="32"/>
          <w:szCs w:val="22"/>
        </w:rPr>
      </w:pPr>
      <w:r>
        <w:rPr>
          <w:rFonts w:hint="eastAsia" w:ascii="仿宋_GB2312" w:hAnsi="仿宋_GB2312" w:eastAsia="仿宋_GB2312" w:cs="Times New Roman"/>
          <w:color w:val="auto"/>
          <w:kern w:val="2"/>
          <w:sz w:val="32"/>
          <w:szCs w:val="22"/>
        </w:rPr>
        <w:t>一、主要职能、职责</w:t>
      </w:r>
    </w:p>
    <w:p>
      <w:pPr>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firstLine="640" w:firstLineChars="200"/>
        <w:jc w:val="left"/>
        <w:textAlignment w:val="auto"/>
        <w:rPr>
          <w:rFonts w:hint="eastAsia" w:ascii="仿宋_GB2312" w:hAnsi="仿宋_GB2312" w:eastAsia="仿宋_GB2312" w:cs="Times New Roman"/>
          <w:color w:val="auto"/>
          <w:kern w:val="2"/>
          <w:sz w:val="32"/>
          <w:szCs w:val="22"/>
        </w:rPr>
      </w:pPr>
      <w:r>
        <w:rPr>
          <w:rFonts w:hint="eastAsia" w:ascii="仿宋_GB2312" w:hAnsi="仿宋_GB2312" w:eastAsia="仿宋_GB2312" w:cs="Times New Roman"/>
          <w:color w:val="auto"/>
          <w:kern w:val="2"/>
          <w:sz w:val="32"/>
          <w:szCs w:val="22"/>
        </w:rPr>
        <w:t>二、部门机构设置及决算单位构成情况</w:t>
      </w:r>
    </w:p>
    <w:p>
      <w:pPr>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firstLine="640" w:firstLineChars="200"/>
        <w:jc w:val="left"/>
        <w:textAlignment w:val="auto"/>
        <w:rPr>
          <w:rFonts w:hint="eastAsia" w:ascii="仿宋_GB2312" w:hAnsi="仿宋_GB2312" w:eastAsia="仿宋_GB2312" w:cs="Times New Roman"/>
          <w:color w:val="auto"/>
          <w:kern w:val="2"/>
          <w:sz w:val="32"/>
          <w:szCs w:val="22"/>
        </w:rPr>
      </w:pPr>
      <w:r>
        <w:rPr>
          <w:rFonts w:hint="eastAsia" w:ascii="仿宋_GB2312" w:hAnsi="仿宋_GB2312" w:eastAsia="仿宋_GB2312" w:cs="Times New Roman"/>
          <w:color w:val="auto"/>
          <w:kern w:val="2"/>
          <w:sz w:val="32"/>
          <w:szCs w:val="22"/>
        </w:rPr>
        <w:t>三、2024年度部门主要工作完成情况</w:t>
      </w:r>
    </w:p>
    <w:p>
      <w:pPr>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firstLine="640" w:firstLineChars="200"/>
        <w:jc w:val="left"/>
        <w:textAlignment w:val="auto"/>
        <w:rPr>
          <w:rFonts w:hint="eastAsia" w:ascii="黑体" w:hAnsi="黑体" w:eastAsia="黑体" w:cs="Times New Roman"/>
          <w:color w:val="auto"/>
          <w:kern w:val="2"/>
          <w:sz w:val="32"/>
          <w:szCs w:val="22"/>
        </w:rPr>
      </w:pPr>
      <w:r>
        <w:rPr>
          <w:rFonts w:hint="eastAsia" w:ascii="黑体" w:hAnsi="黑体" w:eastAsia="黑体" w:cs="Times New Roman"/>
          <w:color w:val="auto"/>
          <w:kern w:val="2"/>
          <w:sz w:val="32"/>
          <w:szCs w:val="22"/>
        </w:rPr>
        <w:t>第二部分 部门决算情况说明</w:t>
      </w:r>
    </w:p>
    <w:p>
      <w:pPr>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firstLine="640" w:firstLineChars="200"/>
        <w:jc w:val="left"/>
        <w:textAlignment w:val="auto"/>
        <w:rPr>
          <w:rFonts w:hint="eastAsia" w:ascii="仿宋_GB2312" w:hAnsi="仿宋_GB2312" w:eastAsia="仿宋_GB2312" w:cs="Times New Roman"/>
          <w:color w:val="auto"/>
          <w:kern w:val="2"/>
          <w:sz w:val="32"/>
          <w:szCs w:val="22"/>
        </w:rPr>
      </w:pPr>
      <w:r>
        <w:rPr>
          <w:rFonts w:hint="eastAsia" w:ascii="仿宋_GB2312" w:hAnsi="仿宋_GB2312" w:eastAsia="仿宋_GB2312" w:cs="Times New Roman"/>
          <w:color w:val="auto"/>
          <w:kern w:val="2"/>
          <w:sz w:val="32"/>
          <w:szCs w:val="22"/>
        </w:rPr>
        <w:t>一、收入支出决算总体情况说明</w:t>
      </w:r>
    </w:p>
    <w:p>
      <w:pPr>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firstLine="640" w:firstLineChars="200"/>
        <w:jc w:val="left"/>
        <w:textAlignment w:val="auto"/>
        <w:rPr>
          <w:rFonts w:hint="eastAsia" w:ascii="仿宋_GB2312" w:hAnsi="仿宋_GB2312" w:eastAsia="仿宋_GB2312" w:cs="Times New Roman"/>
          <w:color w:val="auto"/>
          <w:kern w:val="2"/>
          <w:sz w:val="32"/>
          <w:szCs w:val="22"/>
        </w:rPr>
      </w:pPr>
      <w:r>
        <w:rPr>
          <w:rFonts w:hint="eastAsia" w:ascii="仿宋_GB2312" w:hAnsi="仿宋_GB2312" w:eastAsia="仿宋_GB2312" w:cs="Times New Roman"/>
          <w:color w:val="auto"/>
          <w:kern w:val="2"/>
          <w:sz w:val="32"/>
          <w:szCs w:val="22"/>
        </w:rPr>
        <w:t>二、收入决算情况说明</w:t>
      </w:r>
    </w:p>
    <w:p>
      <w:pPr>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firstLine="640" w:firstLineChars="200"/>
        <w:jc w:val="left"/>
        <w:textAlignment w:val="auto"/>
        <w:rPr>
          <w:rFonts w:hint="eastAsia" w:ascii="仿宋_GB2312" w:hAnsi="仿宋_GB2312" w:eastAsia="仿宋_GB2312" w:cs="Times New Roman"/>
          <w:color w:val="auto"/>
          <w:kern w:val="2"/>
          <w:sz w:val="32"/>
          <w:szCs w:val="22"/>
        </w:rPr>
      </w:pPr>
      <w:r>
        <w:rPr>
          <w:rFonts w:hint="eastAsia" w:ascii="仿宋_GB2312" w:hAnsi="仿宋_GB2312" w:eastAsia="仿宋_GB2312" w:cs="Times New Roman"/>
          <w:color w:val="auto"/>
          <w:kern w:val="2"/>
          <w:sz w:val="32"/>
          <w:szCs w:val="22"/>
        </w:rPr>
        <w:t>三、支出决算情况说明</w:t>
      </w:r>
    </w:p>
    <w:p>
      <w:pPr>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firstLine="640" w:firstLineChars="200"/>
        <w:jc w:val="left"/>
        <w:textAlignment w:val="auto"/>
        <w:rPr>
          <w:rFonts w:hint="eastAsia" w:ascii="仿宋_GB2312" w:hAnsi="仿宋_GB2312" w:eastAsia="仿宋_GB2312" w:cs="Times New Roman"/>
          <w:color w:val="auto"/>
          <w:kern w:val="2"/>
          <w:sz w:val="32"/>
          <w:szCs w:val="22"/>
        </w:rPr>
      </w:pPr>
      <w:r>
        <w:rPr>
          <w:rFonts w:hint="eastAsia" w:ascii="仿宋_GB2312" w:hAnsi="仿宋_GB2312" w:eastAsia="仿宋_GB2312" w:cs="Times New Roman"/>
          <w:color w:val="auto"/>
          <w:kern w:val="2"/>
          <w:sz w:val="32"/>
          <w:szCs w:val="22"/>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firstLine="640" w:firstLineChars="200"/>
        <w:jc w:val="left"/>
        <w:textAlignment w:val="auto"/>
        <w:rPr>
          <w:rFonts w:hint="eastAsia" w:ascii="仿宋_GB2312" w:hAnsi="仿宋_GB2312" w:eastAsia="仿宋_GB2312" w:cs="Times New Roman"/>
          <w:color w:val="auto"/>
          <w:kern w:val="2"/>
          <w:sz w:val="32"/>
          <w:szCs w:val="22"/>
        </w:rPr>
      </w:pPr>
      <w:r>
        <w:rPr>
          <w:rFonts w:hint="eastAsia" w:ascii="仿宋_GB2312" w:hAnsi="仿宋_GB2312" w:eastAsia="仿宋_GB2312" w:cs="Times New Roman"/>
          <w:color w:val="auto"/>
          <w:kern w:val="2"/>
          <w:sz w:val="32"/>
          <w:szCs w:val="22"/>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firstLine="640" w:firstLineChars="200"/>
        <w:jc w:val="left"/>
        <w:textAlignment w:val="auto"/>
        <w:rPr>
          <w:rFonts w:hint="eastAsia" w:ascii="仿宋_GB2312" w:hAnsi="仿宋_GB2312" w:eastAsia="仿宋_GB2312" w:cs="Times New Roman"/>
          <w:color w:val="auto"/>
          <w:kern w:val="2"/>
          <w:sz w:val="32"/>
          <w:szCs w:val="22"/>
        </w:rPr>
      </w:pPr>
      <w:r>
        <w:rPr>
          <w:rFonts w:hint="eastAsia" w:ascii="仿宋_GB2312" w:hAnsi="仿宋_GB2312" w:eastAsia="仿宋_GB2312" w:cs="Times New Roman"/>
          <w:color w:val="auto"/>
          <w:kern w:val="2"/>
          <w:sz w:val="32"/>
          <w:szCs w:val="22"/>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firstLine="640" w:firstLineChars="200"/>
        <w:jc w:val="left"/>
        <w:textAlignment w:val="auto"/>
        <w:rPr>
          <w:rFonts w:hint="eastAsia" w:ascii="仿宋_GB2312" w:hAnsi="仿宋_GB2312" w:eastAsia="仿宋_GB2312" w:cs="Times New Roman"/>
          <w:color w:val="auto"/>
          <w:kern w:val="2"/>
          <w:sz w:val="32"/>
          <w:szCs w:val="22"/>
        </w:rPr>
      </w:pPr>
      <w:r>
        <w:rPr>
          <w:rFonts w:hint="eastAsia" w:ascii="仿宋_GB2312" w:hAnsi="仿宋_GB2312" w:eastAsia="仿宋_GB2312" w:cs="Times New Roman"/>
          <w:color w:val="auto"/>
          <w:kern w:val="2"/>
          <w:sz w:val="32"/>
          <w:szCs w:val="22"/>
        </w:rPr>
        <w:t>七、一般公共预算财政拨款项目支出决算情况说明</w:t>
      </w:r>
    </w:p>
    <w:p>
      <w:pPr>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firstLine="640" w:firstLineChars="200"/>
        <w:jc w:val="left"/>
        <w:textAlignment w:val="auto"/>
        <w:rPr>
          <w:rFonts w:hint="eastAsia" w:ascii="仿宋_GB2312" w:hAnsi="仿宋_GB2312" w:eastAsia="仿宋_GB2312" w:cs="Times New Roman"/>
          <w:color w:val="auto"/>
          <w:kern w:val="2"/>
          <w:sz w:val="32"/>
          <w:szCs w:val="22"/>
        </w:rPr>
      </w:pPr>
      <w:r>
        <w:rPr>
          <w:rFonts w:hint="eastAsia" w:ascii="仿宋_GB2312" w:hAnsi="仿宋_GB2312" w:eastAsia="仿宋_GB2312" w:cs="Times New Roman"/>
          <w:color w:val="auto"/>
          <w:kern w:val="2"/>
          <w:sz w:val="32"/>
          <w:szCs w:val="22"/>
        </w:rPr>
        <w:t>八、财政拨款“三公”经费支出决算情况说明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firstLine="640" w:firstLineChars="200"/>
        <w:jc w:val="left"/>
        <w:textAlignment w:val="auto"/>
        <w:rPr>
          <w:rFonts w:hint="eastAsia" w:ascii="仿宋_GB2312" w:hAnsi="仿宋_GB2312" w:eastAsia="仿宋_GB2312" w:cs="Times New Roman"/>
          <w:color w:val="auto"/>
          <w:kern w:val="2"/>
          <w:sz w:val="32"/>
          <w:szCs w:val="22"/>
        </w:rPr>
      </w:pPr>
      <w:r>
        <w:rPr>
          <w:rFonts w:hint="eastAsia" w:ascii="仿宋_GB2312" w:hAnsi="仿宋_GB2312" w:eastAsia="仿宋_GB2312" w:cs="Times New Roman"/>
          <w:color w:val="auto"/>
          <w:kern w:val="2"/>
          <w:sz w:val="32"/>
          <w:szCs w:val="22"/>
        </w:rPr>
        <w:t>九、政府性基金预算财政拨款支出决算情况说明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firstLine="640" w:firstLineChars="200"/>
        <w:jc w:val="left"/>
        <w:textAlignment w:val="auto"/>
        <w:rPr>
          <w:rFonts w:hint="eastAsia" w:ascii="仿宋_GB2312" w:hAnsi="仿宋_GB2312" w:eastAsia="仿宋_GB2312" w:cs="Times New Roman"/>
          <w:color w:val="auto"/>
          <w:kern w:val="2"/>
          <w:sz w:val="32"/>
          <w:szCs w:val="22"/>
        </w:rPr>
      </w:pPr>
      <w:r>
        <w:rPr>
          <w:rFonts w:hint="eastAsia" w:ascii="仿宋_GB2312" w:hAnsi="仿宋_GB2312" w:eastAsia="仿宋_GB2312" w:cs="Times New Roman"/>
          <w:color w:val="auto"/>
          <w:kern w:val="2"/>
          <w:sz w:val="32"/>
          <w:szCs w:val="22"/>
        </w:rPr>
        <w:t>十、国有资本经营预算财政拨款支出决算情况说明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firstLine="640" w:firstLineChars="200"/>
        <w:jc w:val="left"/>
        <w:textAlignment w:val="auto"/>
        <w:rPr>
          <w:rFonts w:hint="eastAsia" w:ascii="仿宋_GB2312" w:hAnsi="仿宋_GB2312" w:eastAsia="仿宋_GB2312" w:cs="Times New Roman"/>
          <w:color w:val="auto"/>
          <w:kern w:val="2"/>
          <w:sz w:val="32"/>
          <w:szCs w:val="22"/>
        </w:rPr>
      </w:pPr>
      <w:r>
        <w:rPr>
          <w:rFonts w:hint="eastAsia" w:ascii="仿宋_GB2312" w:hAnsi="仿宋_GB2312" w:eastAsia="仿宋_GB2312" w:cs="Times New Roman"/>
          <w:color w:val="auto"/>
          <w:kern w:val="2"/>
          <w:sz w:val="32"/>
          <w:szCs w:val="22"/>
        </w:rPr>
        <w:t>十一、机关运行经费（公用经费）支出决算情况说明</w:t>
      </w:r>
    </w:p>
    <w:p>
      <w:pPr>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firstLine="640" w:firstLineChars="200"/>
        <w:jc w:val="left"/>
        <w:textAlignment w:val="auto"/>
        <w:rPr>
          <w:rFonts w:hint="eastAsia" w:ascii="仿宋_GB2312" w:hAnsi="仿宋_GB2312" w:eastAsia="仿宋_GB2312" w:cs="Times New Roman"/>
          <w:color w:val="auto"/>
          <w:kern w:val="2"/>
          <w:sz w:val="32"/>
          <w:szCs w:val="22"/>
        </w:rPr>
      </w:pPr>
      <w:r>
        <w:rPr>
          <w:rFonts w:hint="eastAsia" w:ascii="仿宋_GB2312" w:hAnsi="仿宋_GB2312" w:eastAsia="仿宋_GB2312" w:cs="Times New Roman"/>
          <w:color w:val="auto"/>
          <w:kern w:val="2"/>
          <w:sz w:val="32"/>
          <w:szCs w:val="22"/>
        </w:rPr>
        <w:t>十二、政府采购支出决算情况说明</w:t>
      </w:r>
    </w:p>
    <w:p>
      <w:pPr>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firstLine="640" w:firstLineChars="200"/>
        <w:jc w:val="left"/>
        <w:textAlignment w:val="auto"/>
        <w:rPr>
          <w:rFonts w:hint="eastAsia" w:ascii="仿宋_GB2312" w:hAnsi="仿宋_GB2312" w:eastAsia="仿宋_GB2312" w:cs="Times New Roman"/>
          <w:color w:val="auto"/>
          <w:kern w:val="2"/>
          <w:sz w:val="32"/>
          <w:szCs w:val="22"/>
        </w:rPr>
      </w:pPr>
      <w:r>
        <w:rPr>
          <w:rFonts w:hint="eastAsia" w:ascii="仿宋_GB2312" w:hAnsi="仿宋_GB2312" w:eastAsia="仿宋_GB2312" w:cs="Times New Roman"/>
          <w:color w:val="auto"/>
          <w:kern w:val="2"/>
          <w:sz w:val="32"/>
          <w:szCs w:val="22"/>
        </w:rPr>
        <w:t>十三、国有资产占用情况说明</w:t>
      </w:r>
    </w:p>
    <w:p>
      <w:pPr>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firstLine="640" w:firstLineChars="200"/>
        <w:jc w:val="left"/>
        <w:textAlignment w:val="auto"/>
        <w:rPr>
          <w:rFonts w:hint="eastAsia" w:ascii="仿宋_GB2312" w:hAnsi="仿宋_GB2312" w:eastAsia="仿宋_GB2312" w:cs="Times New Roman"/>
          <w:color w:val="auto"/>
          <w:kern w:val="2"/>
          <w:sz w:val="32"/>
          <w:szCs w:val="22"/>
        </w:rPr>
      </w:pPr>
      <w:r>
        <w:rPr>
          <w:rFonts w:hint="eastAsia" w:ascii="仿宋_GB2312" w:hAnsi="仿宋_GB2312" w:eastAsia="仿宋_GB2312" w:cs="Times New Roman"/>
          <w:color w:val="auto"/>
          <w:kern w:val="2"/>
          <w:sz w:val="32"/>
          <w:szCs w:val="22"/>
        </w:rPr>
        <w:t>十四、预算绩效情况说明</w:t>
      </w:r>
    </w:p>
    <w:p>
      <w:pPr>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firstLine="640" w:firstLineChars="200"/>
        <w:jc w:val="left"/>
        <w:textAlignment w:val="auto"/>
        <w:rPr>
          <w:rFonts w:hint="eastAsia" w:ascii="黑体" w:hAnsi="黑体" w:eastAsia="黑体" w:cs="Times New Roman"/>
          <w:color w:val="auto"/>
          <w:kern w:val="2"/>
          <w:sz w:val="32"/>
          <w:szCs w:val="22"/>
        </w:rPr>
      </w:pPr>
      <w:r>
        <w:rPr>
          <w:rFonts w:hint="eastAsia" w:ascii="黑体" w:hAnsi="黑体" w:eastAsia="黑体" w:cs="Times New Roman"/>
          <w:color w:val="auto"/>
          <w:kern w:val="2"/>
          <w:sz w:val="32"/>
          <w:szCs w:val="22"/>
        </w:rPr>
        <w:t>第三部分 名词解释</w:t>
      </w:r>
    </w:p>
    <w:p>
      <w:pPr>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firstLine="640" w:firstLineChars="200"/>
        <w:jc w:val="left"/>
        <w:textAlignment w:val="auto"/>
        <w:rPr>
          <w:rFonts w:hint="eastAsia" w:ascii="黑体" w:hAnsi="黑体" w:eastAsia="黑体" w:cs="Times New Roman"/>
          <w:color w:val="auto"/>
          <w:kern w:val="2"/>
          <w:sz w:val="32"/>
          <w:szCs w:val="22"/>
        </w:rPr>
      </w:pPr>
      <w:r>
        <w:rPr>
          <w:rFonts w:hint="eastAsia" w:ascii="黑体" w:hAnsi="黑体" w:eastAsia="黑体" w:cs="Times New Roman"/>
          <w:color w:val="auto"/>
          <w:kern w:val="2"/>
          <w:sz w:val="32"/>
          <w:szCs w:val="22"/>
        </w:rPr>
        <w:t>第四部分 决算公开联系方式及信息反馈渠道</w:t>
      </w:r>
    </w:p>
    <w:p>
      <w:pPr>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firstLine="640" w:firstLineChars="200"/>
        <w:jc w:val="left"/>
        <w:textAlignment w:val="auto"/>
        <w:rPr>
          <w:rFonts w:hint="eastAsia" w:ascii="黑体" w:hAnsi="黑体" w:eastAsia="黑体" w:cs="Times New Roman"/>
          <w:color w:val="auto"/>
          <w:kern w:val="2"/>
          <w:sz w:val="32"/>
          <w:szCs w:val="22"/>
        </w:rPr>
      </w:pPr>
      <w:r>
        <w:rPr>
          <w:rFonts w:hint="eastAsia" w:ascii="黑体" w:hAnsi="黑体" w:eastAsia="黑体" w:cs="Times New Roman"/>
          <w:color w:val="auto"/>
          <w:kern w:val="2"/>
          <w:sz w:val="32"/>
          <w:szCs w:val="22"/>
        </w:rPr>
        <w:t>第五部分 部门决算表</w:t>
      </w:r>
    </w:p>
    <w:p>
      <w:pPr>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firstLine="640" w:firstLineChars="200"/>
        <w:jc w:val="left"/>
        <w:textAlignment w:val="auto"/>
        <w:rPr>
          <w:rFonts w:hint="eastAsia" w:ascii="仿宋_GB2312" w:hAnsi="仿宋_GB2312" w:eastAsia="仿宋_GB2312" w:cs="Times New Roman"/>
          <w:color w:val="auto"/>
          <w:kern w:val="2"/>
          <w:sz w:val="32"/>
          <w:szCs w:val="22"/>
        </w:rPr>
      </w:pPr>
      <w:r>
        <w:rPr>
          <w:rFonts w:hint="eastAsia" w:ascii="仿宋_GB2312" w:hAnsi="仿宋_GB2312" w:eastAsia="仿宋_GB2312" w:cs="Times New Roman"/>
          <w:color w:val="auto"/>
          <w:kern w:val="2"/>
          <w:sz w:val="32"/>
          <w:szCs w:val="22"/>
        </w:rPr>
        <w:t>一、收入支出决算总表</w:t>
      </w:r>
    </w:p>
    <w:p>
      <w:pPr>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firstLine="640" w:firstLineChars="200"/>
        <w:jc w:val="left"/>
        <w:textAlignment w:val="auto"/>
        <w:rPr>
          <w:rFonts w:hint="eastAsia" w:ascii="仿宋_GB2312" w:hAnsi="仿宋_GB2312" w:eastAsia="仿宋_GB2312" w:cs="Times New Roman"/>
          <w:color w:val="auto"/>
          <w:kern w:val="2"/>
          <w:sz w:val="32"/>
          <w:szCs w:val="22"/>
        </w:rPr>
      </w:pPr>
      <w:r>
        <w:rPr>
          <w:rFonts w:hint="eastAsia" w:ascii="仿宋_GB2312" w:hAnsi="仿宋_GB2312" w:eastAsia="仿宋_GB2312" w:cs="Times New Roman"/>
          <w:color w:val="auto"/>
          <w:kern w:val="2"/>
          <w:sz w:val="32"/>
          <w:szCs w:val="22"/>
        </w:rPr>
        <w:t>二、收入决算表</w:t>
      </w:r>
    </w:p>
    <w:p>
      <w:pPr>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firstLine="640" w:firstLineChars="200"/>
        <w:jc w:val="left"/>
        <w:textAlignment w:val="auto"/>
        <w:rPr>
          <w:rFonts w:hint="eastAsia" w:ascii="仿宋_GB2312" w:hAnsi="仿宋_GB2312" w:eastAsia="仿宋_GB2312" w:cs="Times New Roman"/>
          <w:color w:val="auto"/>
          <w:kern w:val="2"/>
          <w:sz w:val="32"/>
          <w:szCs w:val="22"/>
        </w:rPr>
      </w:pPr>
      <w:r>
        <w:rPr>
          <w:rFonts w:hint="eastAsia" w:ascii="仿宋_GB2312" w:hAnsi="仿宋_GB2312" w:eastAsia="仿宋_GB2312" w:cs="Times New Roman"/>
          <w:color w:val="auto"/>
          <w:kern w:val="2"/>
          <w:sz w:val="32"/>
          <w:szCs w:val="22"/>
        </w:rPr>
        <w:t>三、支出决算表</w:t>
      </w:r>
    </w:p>
    <w:p>
      <w:pPr>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firstLine="640" w:firstLineChars="200"/>
        <w:jc w:val="left"/>
        <w:textAlignment w:val="auto"/>
        <w:rPr>
          <w:rFonts w:hint="eastAsia" w:ascii="仿宋_GB2312" w:hAnsi="仿宋_GB2312" w:eastAsia="仿宋_GB2312" w:cs="Times New Roman"/>
          <w:color w:val="auto"/>
          <w:kern w:val="2"/>
          <w:sz w:val="32"/>
          <w:szCs w:val="22"/>
        </w:rPr>
      </w:pPr>
      <w:r>
        <w:rPr>
          <w:rFonts w:hint="eastAsia" w:ascii="仿宋_GB2312" w:hAnsi="仿宋_GB2312" w:eastAsia="仿宋_GB2312" w:cs="Times New Roman"/>
          <w:color w:val="auto"/>
          <w:kern w:val="2"/>
          <w:sz w:val="32"/>
          <w:szCs w:val="22"/>
        </w:rPr>
        <w:t>四、财政拨款收入支出决算总表</w:t>
      </w:r>
    </w:p>
    <w:p>
      <w:pPr>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firstLine="640" w:firstLineChars="200"/>
        <w:jc w:val="left"/>
        <w:textAlignment w:val="auto"/>
        <w:rPr>
          <w:rFonts w:hint="eastAsia" w:ascii="仿宋_GB2312" w:hAnsi="仿宋_GB2312" w:eastAsia="仿宋_GB2312" w:cs="Times New Roman"/>
          <w:color w:val="auto"/>
          <w:kern w:val="2"/>
          <w:sz w:val="32"/>
          <w:szCs w:val="22"/>
        </w:rPr>
      </w:pPr>
      <w:r>
        <w:rPr>
          <w:rFonts w:hint="eastAsia" w:ascii="仿宋_GB2312" w:hAnsi="仿宋_GB2312" w:eastAsia="仿宋_GB2312" w:cs="Times New Roman"/>
          <w:color w:val="auto"/>
          <w:kern w:val="2"/>
          <w:sz w:val="32"/>
          <w:szCs w:val="22"/>
        </w:rPr>
        <w:t>五、一般公共预算财政拨款支出决算表</w:t>
      </w:r>
    </w:p>
    <w:p>
      <w:pPr>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firstLine="640" w:firstLineChars="200"/>
        <w:jc w:val="left"/>
        <w:textAlignment w:val="auto"/>
        <w:rPr>
          <w:rFonts w:hint="eastAsia" w:ascii="仿宋_GB2312" w:hAnsi="仿宋_GB2312" w:eastAsia="仿宋_GB2312" w:cs="Times New Roman"/>
          <w:color w:val="auto"/>
          <w:kern w:val="2"/>
          <w:sz w:val="32"/>
          <w:szCs w:val="22"/>
        </w:rPr>
      </w:pPr>
      <w:r>
        <w:rPr>
          <w:rFonts w:hint="eastAsia" w:ascii="仿宋_GB2312" w:hAnsi="仿宋_GB2312" w:eastAsia="仿宋_GB2312" w:cs="Times New Roman"/>
          <w:color w:val="auto"/>
          <w:kern w:val="2"/>
          <w:sz w:val="32"/>
          <w:szCs w:val="22"/>
        </w:rPr>
        <w:t>六、一般公共预算财政拨款基本支出决算明细表</w:t>
      </w:r>
    </w:p>
    <w:p>
      <w:pPr>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firstLine="640" w:firstLineChars="200"/>
        <w:jc w:val="left"/>
        <w:textAlignment w:val="auto"/>
        <w:rPr>
          <w:rFonts w:hint="eastAsia" w:ascii="仿宋_GB2312" w:hAnsi="仿宋_GB2312" w:eastAsia="仿宋_GB2312" w:cs="Times New Roman"/>
          <w:color w:val="auto"/>
          <w:kern w:val="2"/>
          <w:sz w:val="32"/>
          <w:szCs w:val="22"/>
        </w:rPr>
      </w:pPr>
      <w:r>
        <w:rPr>
          <w:rFonts w:hint="eastAsia" w:ascii="仿宋_GB2312" w:hAnsi="仿宋_GB2312" w:eastAsia="仿宋_GB2312" w:cs="Times New Roman"/>
          <w:color w:val="auto"/>
          <w:kern w:val="2"/>
          <w:sz w:val="32"/>
          <w:szCs w:val="22"/>
        </w:rPr>
        <w:t>七、一般公共预算财政拨款项目支出决算明细表</w:t>
      </w:r>
    </w:p>
    <w:p>
      <w:pPr>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firstLine="640" w:firstLineChars="200"/>
        <w:jc w:val="left"/>
        <w:textAlignment w:val="auto"/>
        <w:rPr>
          <w:rFonts w:hint="eastAsia" w:ascii="仿宋_GB2312" w:hAnsi="仿宋_GB2312" w:eastAsia="仿宋_GB2312" w:cs="Times New Roman"/>
          <w:color w:val="auto"/>
          <w:kern w:val="2"/>
          <w:sz w:val="32"/>
          <w:szCs w:val="22"/>
        </w:rPr>
      </w:pPr>
      <w:r>
        <w:rPr>
          <w:rFonts w:hint="eastAsia" w:ascii="仿宋_GB2312" w:hAnsi="仿宋_GB2312" w:eastAsia="仿宋_GB2312" w:cs="Times New Roman"/>
          <w:color w:val="auto"/>
          <w:kern w:val="2"/>
          <w:sz w:val="32"/>
          <w:szCs w:val="22"/>
        </w:rPr>
        <w:t>八、政府性基金预算财政拨款收入支出决算表</w:t>
      </w:r>
    </w:p>
    <w:p>
      <w:pPr>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firstLine="640" w:firstLineChars="200"/>
        <w:jc w:val="left"/>
        <w:textAlignment w:val="auto"/>
        <w:rPr>
          <w:rFonts w:hint="eastAsia" w:ascii="仿宋_GB2312" w:hAnsi="仿宋_GB2312" w:eastAsia="仿宋_GB2312" w:cs="Times New Roman"/>
          <w:color w:val="auto"/>
          <w:kern w:val="2"/>
          <w:sz w:val="32"/>
          <w:szCs w:val="22"/>
        </w:rPr>
      </w:pPr>
      <w:r>
        <w:rPr>
          <w:rFonts w:hint="eastAsia" w:ascii="仿宋_GB2312" w:hAnsi="仿宋_GB2312" w:eastAsia="仿宋_GB2312" w:cs="Times New Roman"/>
          <w:color w:val="auto"/>
          <w:kern w:val="2"/>
          <w:sz w:val="32"/>
          <w:szCs w:val="22"/>
        </w:rPr>
        <w:t>九、国有资本经营预算财政拨款收入支出决算表</w:t>
      </w:r>
    </w:p>
    <w:p>
      <w:pPr>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firstLine="640" w:firstLineChars="200"/>
        <w:jc w:val="left"/>
        <w:textAlignment w:val="auto"/>
        <w:rPr>
          <w:rFonts w:hint="eastAsia" w:ascii="仿宋_GB2312" w:hAnsi="仿宋_GB2312" w:eastAsia="仿宋_GB2312" w:cs="Times New Roman"/>
          <w:color w:val="auto"/>
          <w:kern w:val="2"/>
          <w:sz w:val="32"/>
          <w:szCs w:val="22"/>
        </w:rPr>
      </w:pPr>
      <w:r>
        <w:rPr>
          <w:rFonts w:hint="eastAsia" w:ascii="仿宋_GB2312" w:hAnsi="仿宋_GB2312" w:eastAsia="仿宋_GB2312" w:cs="Times New Roman"/>
          <w:color w:val="auto"/>
          <w:kern w:val="2"/>
          <w:sz w:val="32"/>
          <w:szCs w:val="22"/>
        </w:rPr>
        <w:t>十、财政拨款“三公”经费支出决算表</w:t>
      </w:r>
    </w:p>
    <w:p>
      <w:pPr>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firstLine="640" w:firstLineChars="200"/>
        <w:jc w:val="left"/>
        <w:textAlignment w:val="auto"/>
        <w:rPr>
          <w:rFonts w:hint="eastAsia" w:ascii="仿宋_GB2312" w:hAnsi="仿宋_GB2312" w:eastAsia="仿宋_GB2312" w:cs="Times New Roman"/>
          <w:color w:val="auto"/>
          <w:kern w:val="2"/>
          <w:sz w:val="32"/>
          <w:szCs w:val="22"/>
        </w:rPr>
      </w:pPr>
      <w:r>
        <w:rPr>
          <w:rFonts w:hint="eastAsia" w:ascii="仿宋_GB2312" w:hAnsi="仿宋_GB2312" w:eastAsia="仿宋_GB2312" w:cs="Times New Roman"/>
          <w:color w:val="auto"/>
          <w:kern w:val="2"/>
          <w:sz w:val="32"/>
          <w:szCs w:val="22"/>
        </w:rPr>
        <w:t>十一、机关运行经费支出、国有资产占用情况及政府采购支出信息表</w:t>
      </w:r>
    </w:p>
    <w:p>
      <w:pPr>
        <w:widowControl/>
        <w:spacing w:before="240" w:after="240"/>
        <w:rPr>
          <w:rFonts w:ascii="Times New Roman" w:hAnsi="Times New Roman" w:eastAsia="Times New Roman" w:cs="Times New Roman"/>
          <w:kern w:val="0"/>
          <w:sz w:val="24"/>
        </w:rPr>
      </w:pPr>
    </w:p>
    <w:p>
      <w:pPr>
        <w:rPr>
          <w:rFonts w:ascii="fang_zheng_xiao_biao_song_ti" w:hAnsi="fang_zheng_xiao_biao_song_ti" w:eastAsia="fang_zheng_xiao_biao_song_ti" w:cs="fang_zheng_xiao_biao_song_ti"/>
          <w:kern w:val="0"/>
          <w:sz w:val="36"/>
          <w:szCs w:val="36"/>
        </w:rPr>
      </w:pPr>
      <w:r>
        <w:rPr>
          <w:rFonts w:ascii="fang_zheng_xiao_biao_song_ti" w:hAnsi="fang_zheng_xiao_biao_song_ti" w:eastAsia="fang_zheng_xiao_biao_song_ti" w:cs="fang_zheng_xiao_biao_song_ti"/>
          <w:kern w:val="0"/>
          <w:sz w:val="36"/>
          <w:szCs w:val="36"/>
        </w:rPr>
        <w:br w:type="page"/>
      </w:r>
    </w:p>
    <w:p>
      <w:pPr>
        <w:pStyle w:val="5"/>
        <w:keepNext w:val="0"/>
        <w:keepLines w:val="0"/>
        <w:widowControl/>
        <w:spacing w:before="299" w:after="299" w:line="240" w:lineRule="auto"/>
        <w:jc w:val="center"/>
        <w:rPr>
          <w:rFonts w:hint="eastAsia" w:ascii="方正小标宋简体" w:hAnsi="方正小标宋简体" w:eastAsia="方正小标宋简体" w:cs="Times New Roman"/>
          <w:b w:val="0"/>
          <w:bCs w:val="0"/>
          <w:color w:val="auto"/>
          <w:kern w:val="2"/>
          <w:sz w:val="36"/>
          <w:szCs w:val="22"/>
          <w:lang w:val="en-US" w:eastAsia="zh-CN" w:bidi="ar-SA"/>
        </w:rPr>
      </w:pPr>
      <w:r>
        <w:rPr>
          <w:rFonts w:hint="eastAsia" w:ascii="方正小标宋简体" w:hAnsi="方正小标宋简体" w:eastAsia="方正小标宋简体" w:cs="Times New Roman"/>
          <w:b w:val="0"/>
          <w:bCs w:val="0"/>
          <w:color w:val="auto"/>
          <w:kern w:val="2"/>
          <w:sz w:val="36"/>
          <w:szCs w:val="22"/>
          <w:lang w:val="en-US" w:eastAsia="zh-CN" w:bidi="ar-SA"/>
        </w:rPr>
        <w:t>第一部分 部门概况</w:t>
      </w:r>
    </w:p>
    <w:p>
      <w:pPr>
        <w:keepNext w:val="0"/>
        <w:keepLines w:val="0"/>
        <w:pageBreakBefore w:val="0"/>
        <w:widowControl/>
        <w:wordWrap/>
        <w:overflowPunct/>
        <w:topLinePunct w:val="0"/>
        <w:bidi w:val="0"/>
        <w:spacing w:line="360" w:lineRule="auto"/>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hint="eastAsia" w:ascii="黑体" w:hAnsi="黑体" w:eastAsia="黑体" w:cs="Times New Roman"/>
          <w:b/>
          <w:color w:val="auto"/>
          <w:kern w:val="2"/>
          <w:sz w:val="32"/>
          <w:szCs w:val="32"/>
        </w:rPr>
        <w:t xml:space="preserve"> </w:t>
      </w:r>
      <w:r>
        <w:rPr>
          <w:rFonts w:hint="eastAsia" w:ascii="黑体" w:hAnsi="黑体" w:eastAsia="黑体" w:cs="Times New Roman"/>
          <w:b/>
          <w:color w:val="auto"/>
          <w:kern w:val="2"/>
          <w:sz w:val="32"/>
          <w:szCs w:val="32"/>
          <w:lang w:val="en-US" w:eastAsia="zh-CN"/>
        </w:rPr>
        <w:t xml:space="preserve">  </w:t>
      </w:r>
      <w:r>
        <w:rPr>
          <w:rFonts w:hint="eastAsia" w:ascii="黑体" w:hAnsi="黑体" w:eastAsia="黑体" w:cs="Times New Roman"/>
          <w:b/>
          <w:color w:val="auto"/>
          <w:kern w:val="2"/>
          <w:sz w:val="32"/>
          <w:szCs w:val="32"/>
        </w:rPr>
        <w:t>一、主要职能、职责</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both"/>
        <w:textAlignment w:val="auto"/>
        <w:rPr>
          <w:rFonts w:hint="eastAsia" w:ascii="仿宋_GB2312" w:hAnsi="仿宋_GB2312" w:eastAsia="仿宋_GB2312" w:cs="Times New Roman"/>
          <w:color w:val="auto"/>
          <w:kern w:val="2"/>
          <w:sz w:val="32"/>
          <w:szCs w:val="22"/>
        </w:rPr>
      </w:pPr>
      <w:r>
        <w:rPr>
          <w:rFonts w:hint="eastAsia" w:ascii="仿宋_GB2312" w:hAnsi="仿宋_GB2312" w:eastAsia="仿宋_GB2312" w:cs="Times New Roman"/>
          <w:color w:val="auto"/>
          <w:kern w:val="2"/>
          <w:sz w:val="32"/>
          <w:szCs w:val="22"/>
        </w:rPr>
        <w:t>（一）部门职能</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both"/>
        <w:textAlignment w:val="auto"/>
        <w:rPr>
          <w:rFonts w:hint="eastAsia" w:ascii="仿宋_GB2312" w:hAnsi="仿宋_GB2312" w:eastAsia="仿宋_GB2312" w:cs="Times New Roman"/>
          <w:color w:val="auto"/>
          <w:kern w:val="2"/>
          <w:sz w:val="32"/>
          <w:szCs w:val="22"/>
        </w:rPr>
      </w:pPr>
      <w:r>
        <w:rPr>
          <w:rFonts w:hint="eastAsia" w:ascii="仿宋_GB2312" w:hAnsi="仿宋_GB2312" w:eastAsia="仿宋_GB2312" w:cs="Times New Roman"/>
          <w:color w:val="auto"/>
          <w:kern w:val="2"/>
          <w:sz w:val="32"/>
          <w:szCs w:val="22"/>
        </w:rPr>
        <w:t>中共磴口县委员会机构编制委员会办公室是中共磴口县</w:t>
      </w:r>
      <w:r>
        <w:rPr>
          <w:rFonts w:hint="eastAsia" w:ascii="仿宋_GB2312" w:hAnsi="仿宋_GB2312" w:eastAsia="仿宋_GB2312" w:cs="Times New Roman"/>
          <w:color w:val="auto"/>
          <w:kern w:val="2"/>
          <w:sz w:val="32"/>
          <w:szCs w:val="22"/>
          <w:lang w:eastAsia="zh-CN"/>
        </w:rPr>
        <w:t>委员会</w:t>
      </w:r>
      <w:r>
        <w:rPr>
          <w:rFonts w:hint="eastAsia" w:ascii="仿宋_GB2312" w:hAnsi="仿宋_GB2312" w:eastAsia="仿宋_GB2312" w:cs="Times New Roman"/>
          <w:color w:val="auto"/>
          <w:kern w:val="2"/>
          <w:sz w:val="32"/>
          <w:szCs w:val="22"/>
        </w:rPr>
        <w:t>机构编制委员会（以下简称县委编委）的办事机构，承担县委编委日常工作，为正科级，加挂磴口县事业单位登记管理局牌子，列县委工作机关序列，归口县委组织部管理。具体负责全县行政管理体制和机构改革以及机构编制的日常管理工作。</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both"/>
        <w:textAlignment w:val="auto"/>
        <w:rPr>
          <w:rFonts w:hint="eastAsia" w:ascii="仿宋_GB2312" w:hAnsi="仿宋_GB2312" w:eastAsia="仿宋_GB2312" w:cs="Times New Roman"/>
          <w:color w:val="auto"/>
          <w:kern w:val="2"/>
          <w:sz w:val="32"/>
          <w:szCs w:val="22"/>
        </w:rPr>
      </w:pPr>
      <w:r>
        <w:rPr>
          <w:rFonts w:hint="eastAsia" w:ascii="仿宋_GB2312" w:hAnsi="仿宋_GB2312" w:eastAsia="仿宋_GB2312" w:cs="Times New Roman"/>
          <w:color w:val="auto"/>
          <w:kern w:val="2"/>
          <w:sz w:val="32"/>
          <w:szCs w:val="22"/>
        </w:rPr>
        <w:t>（二）部门主要职责</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both"/>
        <w:textAlignment w:val="auto"/>
        <w:rPr>
          <w:rFonts w:hint="eastAsia" w:ascii="仿宋_GB2312" w:hAnsi="仿宋_GB2312" w:eastAsia="仿宋_GB2312" w:cs="Times New Roman"/>
          <w:color w:val="auto"/>
          <w:kern w:val="2"/>
          <w:sz w:val="32"/>
          <w:szCs w:val="22"/>
        </w:rPr>
      </w:pPr>
      <w:r>
        <w:rPr>
          <w:rFonts w:hint="eastAsia" w:ascii="仿宋_GB2312" w:hAnsi="仿宋_GB2312" w:eastAsia="仿宋_GB2312" w:cs="Times New Roman"/>
          <w:color w:val="auto"/>
          <w:kern w:val="2"/>
          <w:sz w:val="32"/>
          <w:szCs w:val="22"/>
          <w:lang w:val="en-US" w:eastAsia="zh-CN"/>
        </w:rPr>
        <w:t>1、</w:t>
      </w:r>
      <w:r>
        <w:rPr>
          <w:rFonts w:hint="eastAsia" w:ascii="仿宋_GB2312" w:hAnsi="仿宋_GB2312" w:eastAsia="仿宋_GB2312" w:cs="Times New Roman"/>
          <w:color w:val="auto"/>
          <w:kern w:val="2"/>
          <w:sz w:val="32"/>
          <w:szCs w:val="22"/>
        </w:rPr>
        <w:t>贯彻落实党中央关于党和国家机构改革及机构编制管理的方针政策和国家有关法律法规，落实自治区党委、党委编办、市委、市委编委、市委编办以及县委、县委编委决策部署。</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2、牢牢把握铸牢中华民族共同体意识工作主线，将之贯穿于机构改革、机构设置、职能配置、编制配备及自身建设等全过程各方面。</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both"/>
        <w:textAlignment w:val="auto"/>
        <w:rPr>
          <w:rFonts w:hint="eastAsia" w:ascii="仿宋_GB2312" w:hAnsi="仿宋_GB2312" w:eastAsia="仿宋_GB2312" w:cs="Times New Roman"/>
          <w:color w:val="auto"/>
          <w:kern w:val="2"/>
          <w:sz w:val="32"/>
          <w:szCs w:val="22"/>
        </w:rPr>
      </w:pPr>
      <w:r>
        <w:rPr>
          <w:rFonts w:hint="eastAsia" w:ascii="仿宋_GB2312" w:hAnsi="仿宋_GB2312" w:eastAsia="仿宋_GB2312" w:cs="Times New Roman"/>
          <w:color w:val="auto"/>
          <w:kern w:val="2"/>
          <w:sz w:val="32"/>
          <w:szCs w:val="22"/>
          <w:lang w:val="en-US" w:eastAsia="zh-CN"/>
        </w:rPr>
        <w:t>3、</w:t>
      </w:r>
      <w:r>
        <w:rPr>
          <w:rFonts w:hint="eastAsia" w:ascii="仿宋_GB2312" w:hAnsi="仿宋_GB2312" w:eastAsia="仿宋_GB2312" w:cs="Times New Roman"/>
          <w:color w:val="auto"/>
          <w:kern w:val="2"/>
          <w:sz w:val="32"/>
          <w:szCs w:val="22"/>
        </w:rPr>
        <w:t>统筹管理机构编制工作。拟订磴口县机构编制管理</w:t>
      </w:r>
      <w:r>
        <w:rPr>
          <w:rFonts w:hint="eastAsia" w:ascii="仿宋_GB2312" w:hAnsi="仿宋_GB2312" w:eastAsia="仿宋_GB2312" w:cs="Times New Roman"/>
          <w:color w:val="auto"/>
          <w:kern w:val="2"/>
          <w:sz w:val="32"/>
          <w:szCs w:val="22"/>
          <w:lang w:eastAsia="zh-CN"/>
        </w:rPr>
        <w:t>规章制度</w:t>
      </w:r>
      <w:r>
        <w:rPr>
          <w:rFonts w:hint="eastAsia" w:ascii="仿宋_GB2312" w:hAnsi="仿宋_GB2312" w:eastAsia="仿宋_GB2312" w:cs="Times New Roman"/>
          <w:color w:val="auto"/>
          <w:kern w:val="2"/>
          <w:sz w:val="32"/>
          <w:szCs w:val="22"/>
        </w:rPr>
        <w:t>，并组织实施</w:t>
      </w:r>
      <w:r>
        <w:rPr>
          <w:rFonts w:hint="eastAsia" w:ascii="仿宋_GB2312" w:hAnsi="仿宋_GB2312" w:eastAsia="仿宋_GB2312" w:cs="Times New Roman"/>
          <w:color w:val="auto"/>
          <w:kern w:val="2"/>
          <w:sz w:val="32"/>
          <w:szCs w:val="22"/>
          <w:lang w:eastAsia="zh-CN"/>
        </w:rPr>
        <w:t>。</w:t>
      </w:r>
      <w:r>
        <w:rPr>
          <w:rFonts w:hint="eastAsia" w:ascii="仿宋_GB2312" w:hAnsi="仿宋_GB2312" w:eastAsia="仿宋_GB2312" w:cs="Times New Roman"/>
          <w:color w:val="auto"/>
          <w:kern w:val="2"/>
          <w:sz w:val="32"/>
          <w:szCs w:val="22"/>
        </w:rPr>
        <w:t xml:space="preserve">协调推进机构编制法制化建设。 </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both"/>
        <w:textAlignment w:val="auto"/>
        <w:rPr>
          <w:rFonts w:hint="eastAsia" w:ascii="仿宋_GB2312" w:hAnsi="仿宋_GB2312" w:eastAsia="仿宋_GB2312" w:cs="Times New Roman"/>
          <w:color w:val="auto"/>
          <w:kern w:val="2"/>
          <w:sz w:val="32"/>
          <w:szCs w:val="22"/>
        </w:rPr>
      </w:pPr>
      <w:r>
        <w:rPr>
          <w:rFonts w:hint="eastAsia" w:ascii="仿宋_GB2312" w:hAnsi="仿宋_GB2312" w:eastAsia="仿宋_GB2312" w:cs="Times New Roman"/>
          <w:color w:val="auto"/>
          <w:kern w:val="2"/>
          <w:sz w:val="32"/>
          <w:szCs w:val="22"/>
          <w:lang w:val="en-US" w:eastAsia="zh-CN"/>
        </w:rPr>
        <w:t>4、</w:t>
      </w:r>
      <w:r>
        <w:rPr>
          <w:rFonts w:hint="eastAsia" w:ascii="仿宋_GB2312" w:hAnsi="仿宋_GB2312" w:eastAsia="仿宋_GB2312" w:cs="Times New Roman"/>
          <w:color w:val="auto"/>
          <w:kern w:val="2"/>
          <w:sz w:val="32"/>
          <w:szCs w:val="22"/>
        </w:rPr>
        <w:t>统筹推进磴口县机构改革工作，研究拟订磴口县机构改革方案。审核磴口县党政群机关职能配置、内设机构、人员编制规定（简称“三定”规定）。负</w:t>
      </w:r>
      <w:r>
        <w:rPr>
          <w:rFonts w:hint="eastAsia" w:ascii="仿宋_GB2312" w:hAnsi="仿宋_GB2312" w:eastAsia="仿宋_GB2312" w:cs="Times New Roman"/>
          <w:color w:val="auto"/>
          <w:kern w:val="2"/>
          <w:sz w:val="32"/>
          <w:szCs w:val="22"/>
          <w:lang w:eastAsia="zh-CN"/>
        </w:rPr>
        <w:t>责</w:t>
      </w:r>
      <w:r>
        <w:rPr>
          <w:rFonts w:hint="eastAsia" w:ascii="仿宋_GB2312" w:hAnsi="仿宋_GB2312" w:eastAsia="仿宋_GB2312" w:cs="Times New Roman"/>
          <w:color w:val="auto"/>
          <w:kern w:val="2"/>
          <w:sz w:val="32"/>
          <w:szCs w:val="22"/>
        </w:rPr>
        <w:t>相对集中行政许可权改革。配合推进行业管理体制改革。</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both"/>
        <w:textAlignment w:val="auto"/>
        <w:rPr>
          <w:rFonts w:hint="eastAsia" w:ascii="仿宋_GB2312" w:hAnsi="仿宋_GB2312" w:eastAsia="仿宋_GB2312" w:cs="Times New Roman"/>
          <w:color w:val="auto"/>
          <w:kern w:val="2"/>
          <w:sz w:val="32"/>
          <w:szCs w:val="22"/>
        </w:rPr>
      </w:pPr>
      <w:r>
        <w:rPr>
          <w:rFonts w:hint="eastAsia" w:ascii="仿宋_GB2312" w:hAnsi="仿宋_GB2312" w:eastAsia="仿宋_GB2312" w:cs="Times New Roman"/>
          <w:color w:val="auto"/>
          <w:kern w:val="2"/>
          <w:sz w:val="32"/>
          <w:szCs w:val="22"/>
          <w:lang w:val="en-US" w:eastAsia="zh-CN"/>
        </w:rPr>
        <w:t>5、</w:t>
      </w:r>
      <w:r>
        <w:rPr>
          <w:rFonts w:hint="eastAsia" w:ascii="仿宋_GB2312" w:hAnsi="仿宋_GB2312" w:eastAsia="仿宋_GB2312" w:cs="Times New Roman"/>
          <w:color w:val="auto"/>
          <w:kern w:val="2"/>
          <w:sz w:val="32"/>
          <w:szCs w:val="22"/>
        </w:rPr>
        <w:t xml:space="preserve">统筹磴口县党政群机关职能职责调整，协调县直部门之间职责分工和县、苏木镇两级政府之间事权划分。 </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both"/>
        <w:textAlignment w:val="auto"/>
        <w:rPr>
          <w:rFonts w:hint="eastAsia" w:ascii="仿宋_GB2312" w:hAnsi="仿宋_GB2312" w:eastAsia="仿宋_GB2312" w:cs="Times New Roman"/>
          <w:color w:val="auto"/>
          <w:kern w:val="2"/>
          <w:sz w:val="32"/>
          <w:szCs w:val="22"/>
        </w:rPr>
      </w:pPr>
      <w:r>
        <w:rPr>
          <w:rFonts w:hint="eastAsia" w:ascii="仿宋_GB2312" w:hAnsi="仿宋_GB2312" w:eastAsia="仿宋_GB2312" w:cs="Times New Roman"/>
          <w:color w:val="auto"/>
          <w:kern w:val="2"/>
          <w:sz w:val="32"/>
          <w:szCs w:val="22"/>
          <w:lang w:val="en-US" w:eastAsia="zh-CN"/>
        </w:rPr>
        <w:t>6、</w:t>
      </w:r>
      <w:r>
        <w:rPr>
          <w:rFonts w:hint="eastAsia" w:ascii="仿宋_GB2312" w:hAnsi="仿宋_GB2312" w:eastAsia="仿宋_GB2312" w:cs="Times New Roman"/>
          <w:color w:val="auto"/>
          <w:kern w:val="2"/>
          <w:sz w:val="32"/>
          <w:szCs w:val="22"/>
        </w:rPr>
        <w:t>负</w:t>
      </w:r>
      <w:r>
        <w:rPr>
          <w:rFonts w:hint="eastAsia" w:ascii="仿宋_GB2312" w:hAnsi="仿宋_GB2312" w:eastAsia="仿宋_GB2312" w:cs="Times New Roman"/>
          <w:color w:val="auto"/>
          <w:kern w:val="2"/>
          <w:sz w:val="32"/>
          <w:szCs w:val="22"/>
          <w:lang w:eastAsia="zh-CN"/>
        </w:rPr>
        <w:t>责</w:t>
      </w:r>
      <w:r>
        <w:rPr>
          <w:rFonts w:hint="eastAsia" w:ascii="仿宋_GB2312" w:hAnsi="仿宋_GB2312" w:eastAsia="仿宋_GB2312" w:cs="Times New Roman"/>
          <w:color w:val="auto"/>
          <w:kern w:val="2"/>
          <w:sz w:val="32"/>
          <w:szCs w:val="22"/>
        </w:rPr>
        <w:t xml:space="preserve">县直机关及事业单位日常机构编制管理事宜。按照权限，管理全县行政事业单位股级机构设置等事宜。 </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both"/>
        <w:textAlignment w:val="auto"/>
        <w:rPr>
          <w:rFonts w:hint="eastAsia" w:ascii="仿宋_GB2312" w:hAnsi="仿宋_GB2312" w:eastAsia="仿宋_GB2312" w:cs="Times New Roman"/>
          <w:color w:val="auto"/>
          <w:kern w:val="2"/>
          <w:sz w:val="32"/>
          <w:szCs w:val="22"/>
        </w:rPr>
      </w:pPr>
      <w:r>
        <w:rPr>
          <w:rFonts w:hint="eastAsia" w:ascii="仿宋_GB2312" w:hAnsi="仿宋_GB2312" w:eastAsia="仿宋_GB2312" w:cs="Times New Roman"/>
          <w:color w:val="auto"/>
          <w:kern w:val="2"/>
          <w:sz w:val="32"/>
          <w:szCs w:val="22"/>
          <w:lang w:val="en-US" w:eastAsia="zh-CN"/>
        </w:rPr>
        <w:t>7、</w:t>
      </w:r>
      <w:r>
        <w:rPr>
          <w:rFonts w:hint="eastAsia" w:ascii="仿宋_GB2312" w:hAnsi="仿宋_GB2312" w:eastAsia="仿宋_GB2312" w:cs="Times New Roman"/>
          <w:color w:val="auto"/>
          <w:kern w:val="2"/>
          <w:sz w:val="32"/>
          <w:szCs w:val="22"/>
        </w:rPr>
        <w:t xml:space="preserve">负责管理全县行政事业单位编制总额和机构限额。 </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both"/>
        <w:textAlignment w:val="auto"/>
        <w:rPr>
          <w:rFonts w:hint="eastAsia" w:ascii="仿宋_GB2312" w:hAnsi="仿宋_GB2312" w:eastAsia="仿宋_GB2312" w:cs="Times New Roman"/>
          <w:color w:val="auto"/>
          <w:kern w:val="2"/>
          <w:sz w:val="32"/>
          <w:szCs w:val="22"/>
        </w:rPr>
      </w:pPr>
      <w:r>
        <w:rPr>
          <w:rFonts w:hint="eastAsia" w:ascii="仿宋_GB2312" w:hAnsi="仿宋_GB2312" w:eastAsia="仿宋_GB2312" w:cs="Times New Roman"/>
          <w:color w:val="auto"/>
          <w:kern w:val="2"/>
          <w:sz w:val="32"/>
          <w:szCs w:val="22"/>
          <w:lang w:val="en-US" w:eastAsia="zh-CN"/>
        </w:rPr>
        <w:t>8、</w:t>
      </w:r>
      <w:r>
        <w:rPr>
          <w:rFonts w:hint="eastAsia" w:ascii="仿宋_GB2312" w:hAnsi="仿宋_GB2312" w:eastAsia="仿宋_GB2312" w:cs="Times New Roman"/>
          <w:color w:val="auto"/>
          <w:kern w:val="2"/>
          <w:sz w:val="32"/>
          <w:szCs w:val="22"/>
        </w:rPr>
        <w:t xml:space="preserve">统筹推进全县事业单位改革。研究拟订事业单位机构改革意见。 </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both"/>
        <w:textAlignment w:val="auto"/>
        <w:rPr>
          <w:rFonts w:hint="eastAsia" w:ascii="仿宋_GB2312" w:hAnsi="仿宋_GB2312" w:eastAsia="仿宋_GB2312" w:cs="Times New Roman"/>
          <w:color w:val="auto"/>
          <w:kern w:val="2"/>
          <w:sz w:val="32"/>
          <w:szCs w:val="22"/>
        </w:rPr>
      </w:pPr>
      <w:r>
        <w:rPr>
          <w:rFonts w:hint="eastAsia" w:ascii="仿宋_GB2312" w:hAnsi="仿宋_GB2312" w:eastAsia="仿宋_GB2312" w:cs="Times New Roman"/>
          <w:color w:val="auto"/>
          <w:kern w:val="2"/>
          <w:sz w:val="32"/>
          <w:szCs w:val="22"/>
          <w:lang w:val="en-US" w:eastAsia="zh-CN"/>
        </w:rPr>
        <w:t>9、</w:t>
      </w:r>
      <w:r>
        <w:rPr>
          <w:rFonts w:hint="eastAsia" w:ascii="仿宋_GB2312" w:hAnsi="仿宋_GB2312" w:eastAsia="仿宋_GB2312" w:cs="Times New Roman"/>
          <w:color w:val="auto"/>
          <w:kern w:val="2"/>
          <w:sz w:val="32"/>
          <w:szCs w:val="22"/>
        </w:rPr>
        <w:t xml:space="preserve">按照权限，审核审批全县事业单位机构规格、内设机构、人员编制、人员结构、机构类别等事宜。 </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both"/>
        <w:textAlignment w:val="auto"/>
        <w:rPr>
          <w:rFonts w:hint="eastAsia" w:ascii="仿宋_GB2312" w:hAnsi="仿宋_GB2312" w:eastAsia="仿宋_GB2312" w:cs="Times New Roman"/>
          <w:color w:val="auto"/>
          <w:kern w:val="2"/>
          <w:sz w:val="32"/>
          <w:szCs w:val="22"/>
        </w:rPr>
      </w:pPr>
      <w:r>
        <w:rPr>
          <w:rFonts w:hint="eastAsia" w:ascii="仿宋_GB2312" w:hAnsi="仿宋_GB2312" w:eastAsia="仿宋_GB2312" w:cs="Times New Roman"/>
          <w:color w:val="auto"/>
          <w:kern w:val="2"/>
          <w:sz w:val="32"/>
          <w:szCs w:val="22"/>
          <w:lang w:val="en-US" w:eastAsia="zh-CN"/>
        </w:rPr>
        <w:t>10、</w:t>
      </w:r>
      <w:r>
        <w:rPr>
          <w:rFonts w:hint="eastAsia" w:ascii="仿宋_GB2312" w:hAnsi="仿宋_GB2312" w:eastAsia="仿宋_GB2312" w:cs="Times New Roman"/>
          <w:color w:val="auto"/>
          <w:kern w:val="2"/>
          <w:sz w:val="32"/>
          <w:szCs w:val="22"/>
        </w:rPr>
        <w:t>监督检查机构编制工作的方针政策、法律法规和重要决策部署执行情况，查处机构编制违纪违法行为。负责机构编制调查研究工作。负</w:t>
      </w:r>
      <w:r>
        <w:rPr>
          <w:rFonts w:hint="eastAsia" w:ascii="仿宋_GB2312" w:hAnsi="仿宋_GB2312" w:eastAsia="仿宋_GB2312" w:cs="Times New Roman"/>
          <w:color w:val="auto"/>
          <w:kern w:val="2"/>
          <w:sz w:val="32"/>
          <w:szCs w:val="22"/>
          <w:lang w:eastAsia="zh-CN"/>
        </w:rPr>
        <w:t>责</w:t>
      </w:r>
      <w:r>
        <w:rPr>
          <w:rFonts w:hint="eastAsia" w:ascii="仿宋_GB2312" w:hAnsi="仿宋_GB2312" w:eastAsia="仿宋_GB2312" w:cs="Times New Roman"/>
          <w:color w:val="auto"/>
          <w:kern w:val="2"/>
          <w:sz w:val="32"/>
          <w:szCs w:val="22"/>
        </w:rPr>
        <w:t>全县机构编制统计、实名制和网上名称管理工</w:t>
      </w:r>
      <w:r>
        <w:rPr>
          <w:rFonts w:hint="eastAsia" w:ascii="仿宋_GB2312" w:hAnsi="仿宋_GB2312" w:eastAsia="仿宋_GB2312" w:cs="Times New Roman"/>
          <w:color w:val="auto"/>
          <w:kern w:val="2"/>
          <w:sz w:val="32"/>
          <w:szCs w:val="22"/>
          <w:lang w:eastAsia="zh-CN"/>
        </w:rPr>
        <w:t>作</w:t>
      </w:r>
      <w:r>
        <w:rPr>
          <w:rFonts w:hint="eastAsia" w:ascii="仿宋_GB2312" w:hAnsi="仿宋_GB2312" w:eastAsia="仿宋_GB2312" w:cs="Times New Roman"/>
          <w:color w:val="auto"/>
          <w:kern w:val="2"/>
          <w:sz w:val="32"/>
          <w:szCs w:val="22"/>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both"/>
        <w:textAlignment w:val="auto"/>
        <w:rPr>
          <w:rFonts w:hint="eastAsia" w:ascii="仿宋_GB2312" w:hAnsi="仿宋_GB2312" w:eastAsia="仿宋_GB2312" w:cs="Times New Roman"/>
          <w:color w:val="auto"/>
          <w:kern w:val="2"/>
          <w:sz w:val="32"/>
          <w:szCs w:val="22"/>
        </w:rPr>
      </w:pPr>
      <w:r>
        <w:rPr>
          <w:rFonts w:hint="eastAsia" w:ascii="仿宋_GB2312" w:hAnsi="仿宋_GB2312" w:eastAsia="仿宋_GB2312" w:cs="Times New Roman"/>
          <w:color w:val="auto"/>
          <w:kern w:val="2"/>
          <w:sz w:val="32"/>
          <w:szCs w:val="22"/>
          <w:lang w:val="en-US" w:eastAsia="zh-CN"/>
        </w:rPr>
        <w:t>11、</w:t>
      </w:r>
      <w:r>
        <w:rPr>
          <w:rFonts w:hint="eastAsia" w:ascii="仿宋_GB2312" w:hAnsi="仿宋_GB2312" w:eastAsia="仿宋_GB2312" w:cs="Times New Roman"/>
          <w:color w:val="auto"/>
          <w:kern w:val="2"/>
          <w:sz w:val="32"/>
          <w:szCs w:val="22"/>
        </w:rPr>
        <w:t>统筹指导全县事业单位登记管理工作和机构编制信息化建设工作。负</w:t>
      </w:r>
      <w:r>
        <w:rPr>
          <w:rFonts w:hint="eastAsia" w:ascii="仿宋_GB2312" w:hAnsi="仿宋_GB2312" w:eastAsia="仿宋_GB2312" w:cs="Times New Roman"/>
          <w:color w:val="auto"/>
          <w:kern w:val="2"/>
          <w:sz w:val="32"/>
          <w:szCs w:val="22"/>
          <w:lang w:eastAsia="zh-CN"/>
        </w:rPr>
        <w:t>责</w:t>
      </w:r>
      <w:r>
        <w:rPr>
          <w:rFonts w:hint="eastAsia" w:ascii="仿宋_GB2312" w:hAnsi="仿宋_GB2312" w:eastAsia="仿宋_GB2312" w:cs="Times New Roman"/>
          <w:color w:val="auto"/>
          <w:kern w:val="2"/>
          <w:sz w:val="32"/>
          <w:szCs w:val="22"/>
        </w:rPr>
        <w:t xml:space="preserve">县本级党政群机关统一社会信用代码赋码发证工作和事业单位登记管理工作。 </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eastAsia="仿宋_GB2312"/>
          <w:b w:val="0"/>
          <w:bCs/>
          <w:sz w:val="32"/>
          <w:szCs w:val="32"/>
          <w:lang w:val="en-US" w:eastAsia="zh-CN"/>
        </w:rPr>
      </w:pPr>
      <w:r>
        <w:rPr>
          <w:rFonts w:hint="eastAsia" w:ascii="仿宋_GB2312" w:hAnsi="仿宋_GB2312" w:eastAsia="仿宋_GB2312" w:cs="Times New Roman"/>
          <w:b w:val="0"/>
          <w:bCs/>
          <w:color w:val="auto"/>
          <w:kern w:val="2"/>
          <w:sz w:val="32"/>
          <w:szCs w:val="32"/>
          <w:lang w:val="en-US" w:eastAsia="zh-CN"/>
        </w:rPr>
        <w:t>12、在履行职责过程中统筹发展和安全，有效防范化解各类风险挑战，实现高质量发展和高水平安全的良性互动。</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both"/>
        <w:textAlignment w:val="auto"/>
        <w:rPr>
          <w:rFonts w:hint="eastAsia" w:ascii="仿宋_GB2312" w:hAnsi="仿宋_GB2312" w:eastAsia="仿宋_GB2312" w:cs="Times New Roman"/>
          <w:color w:val="auto"/>
          <w:kern w:val="2"/>
          <w:sz w:val="32"/>
          <w:szCs w:val="22"/>
        </w:rPr>
      </w:pPr>
      <w:r>
        <w:rPr>
          <w:rFonts w:hint="eastAsia" w:ascii="仿宋_GB2312" w:hAnsi="仿宋_GB2312" w:eastAsia="仿宋_GB2312" w:cs="Times New Roman"/>
          <w:color w:val="auto"/>
          <w:kern w:val="2"/>
          <w:sz w:val="32"/>
          <w:szCs w:val="22"/>
          <w:lang w:val="en-US" w:eastAsia="zh-CN"/>
        </w:rPr>
        <w:t>13、</w:t>
      </w:r>
      <w:r>
        <w:rPr>
          <w:rFonts w:hint="eastAsia" w:ascii="仿宋_GB2312" w:hAnsi="仿宋_GB2312" w:eastAsia="仿宋_GB2312" w:cs="Times New Roman"/>
          <w:color w:val="auto"/>
          <w:kern w:val="2"/>
          <w:sz w:val="32"/>
          <w:szCs w:val="22"/>
        </w:rPr>
        <w:t>完成县委和县委</w:t>
      </w:r>
      <w:r>
        <w:rPr>
          <w:rFonts w:hint="eastAsia" w:ascii="仿宋_GB2312" w:hAnsi="仿宋_GB2312" w:eastAsia="仿宋_GB2312" w:cs="Times New Roman"/>
          <w:color w:val="auto"/>
          <w:kern w:val="2"/>
          <w:sz w:val="32"/>
          <w:szCs w:val="22"/>
          <w:lang w:eastAsia="zh-CN"/>
        </w:rPr>
        <w:t>编委</w:t>
      </w:r>
      <w:r>
        <w:rPr>
          <w:rFonts w:hint="eastAsia" w:ascii="仿宋_GB2312" w:hAnsi="仿宋_GB2312" w:eastAsia="仿宋_GB2312" w:cs="Times New Roman"/>
          <w:color w:val="auto"/>
          <w:kern w:val="2"/>
          <w:sz w:val="32"/>
          <w:szCs w:val="22"/>
        </w:rPr>
        <w:t>交办的其他任务。</w:t>
      </w:r>
    </w:p>
    <w:p>
      <w:pPr>
        <w:keepNext w:val="0"/>
        <w:keepLines w:val="0"/>
        <w:pageBreakBefore w:val="0"/>
        <w:widowControl/>
        <w:kinsoku/>
        <w:wordWrap/>
        <w:overflowPunct/>
        <w:topLinePunct w:val="0"/>
        <w:bidi w:val="0"/>
        <w:snapToGrid/>
        <w:spacing w:line="360" w:lineRule="auto"/>
        <w:jc w:val="left"/>
        <w:textAlignment w:val="auto"/>
        <w:rPr>
          <w:rFonts w:hint="eastAsia" w:ascii="Times New Roman" w:hAnsi="Times New Roman" w:eastAsia="Times New Roman"/>
          <w:color w:val="auto"/>
          <w:kern w:val="2"/>
          <w:sz w:val="32"/>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hint="eastAsia" w:ascii="黑体" w:hAnsi="黑体" w:eastAsia="黑体" w:cs="Times New Roman"/>
          <w:b/>
          <w:color w:val="auto"/>
          <w:kern w:val="2"/>
          <w:sz w:val="32"/>
          <w:szCs w:val="32"/>
        </w:rPr>
        <w:t>二、部门机构设置及决算单位构成情况</w:t>
      </w:r>
    </w:p>
    <w:p>
      <w:pPr>
        <w:keepNext w:val="0"/>
        <w:keepLines w:val="0"/>
        <w:pageBreakBefore w:val="0"/>
        <w:widowControl w:val="0"/>
        <w:tabs>
          <w:tab w:val="left" w:pos="1151"/>
        </w:tabs>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Times New Roman"/>
          <w:color w:val="auto"/>
          <w:kern w:val="2"/>
          <w:sz w:val="32"/>
        </w:rPr>
      </w:pPr>
      <w:r>
        <w:rPr>
          <w:rFonts w:hint="eastAsia" w:ascii="仿宋_GB2312" w:hAnsi="仿宋_GB2312" w:eastAsia="仿宋_GB2312" w:cs="仿宋_GB2312"/>
          <w:color w:val="auto"/>
          <w:kern w:val="2"/>
          <w:sz w:val="32"/>
        </w:rPr>
        <w:t>1</w:t>
      </w:r>
      <w:r>
        <w:rPr>
          <w:rFonts w:hint="eastAsia" w:ascii="仿宋_GB2312" w:hAnsi="仿宋_GB2312" w:eastAsia="仿宋_GB2312" w:cs="仿宋_GB2312"/>
          <w:color w:val="auto"/>
          <w:kern w:val="2"/>
          <w:sz w:val="32"/>
          <w:lang w:eastAsia="zh-CN"/>
        </w:rPr>
        <w:t>、</w:t>
      </w:r>
      <w:r>
        <w:rPr>
          <w:rFonts w:hint="eastAsia" w:ascii="仿宋_GB2312" w:hAnsi="仿宋_GB2312" w:eastAsia="仿宋_GB2312"/>
          <w:spacing w:val="-10"/>
          <w:position w:val="3"/>
          <w:sz w:val="32"/>
        </w:rPr>
        <w:t>根据部门职责分工，</w:t>
      </w:r>
      <w:r>
        <w:rPr>
          <w:rFonts w:hint="eastAsia" w:ascii="仿宋_GB2312" w:hAnsi="仿宋_GB2312" w:eastAsia="仿宋_GB2312"/>
          <w:spacing w:val="-10"/>
          <w:position w:val="3"/>
          <w:sz w:val="32"/>
          <w:lang w:val="en-US" w:eastAsia="zh-CN"/>
        </w:rPr>
        <w:t>中共磴口县委员会机构编制委员会办公室</w:t>
      </w:r>
      <w:r>
        <w:rPr>
          <w:rFonts w:hint="eastAsia" w:ascii="仿宋_GB2312" w:hAnsi="仿宋_GB2312" w:eastAsia="仿宋_GB2312"/>
          <w:spacing w:val="-10"/>
          <w:position w:val="3"/>
          <w:sz w:val="32"/>
        </w:rPr>
        <w:t>内设机构包括</w:t>
      </w:r>
      <w:r>
        <w:rPr>
          <w:rFonts w:hint="eastAsia" w:ascii="仿宋_GB2312" w:hAnsi="仿宋_GB2312" w:eastAsia="仿宋_GB2312"/>
          <w:spacing w:val="-10"/>
          <w:position w:val="3"/>
          <w:sz w:val="32"/>
          <w:lang w:val="en-US" w:eastAsia="zh-CN"/>
        </w:rPr>
        <w:t>综合股、业务股</w:t>
      </w:r>
      <w:r>
        <w:rPr>
          <w:rFonts w:hint="eastAsia" w:ascii="仿宋_GB2312" w:hAnsi="仿宋_GB2312" w:eastAsia="仿宋_GB2312"/>
          <w:spacing w:val="-10"/>
          <w:position w:val="3"/>
          <w:sz w:val="32"/>
        </w:rPr>
        <w:t>。</w:t>
      </w:r>
      <w:r>
        <w:rPr>
          <w:rFonts w:hint="eastAsia" w:ascii="仿宋_GB2312" w:hAnsi="仿宋_GB2312" w:eastAsia="仿宋_GB2312"/>
          <w:spacing w:val="-10"/>
          <w:position w:val="3"/>
          <w:sz w:val="32"/>
          <w:lang w:val="en-US" w:eastAsia="zh-CN"/>
        </w:rPr>
        <w:t>中共磴口县委员会机构编制委员会办公室</w:t>
      </w:r>
      <w:r>
        <w:rPr>
          <w:rFonts w:hint="eastAsia" w:ascii="仿宋_GB2312" w:hAnsi="仿宋_GB2312" w:eastAsia="仿宋_GB2312"/>
          <w:spacing w:val="-10"/>
          <w:position w:val="3"/>
          <w:sz w:val="32"/>
          <w:lang w:eastAsia="zh-CN"/>
        </w:rPr>
        <w:t>所</w:t>
      </w:r>
      <w:r>
        <w:rPr>
          <w:rFonts w:hint="eastAsia" w:ascii="仿宋_GB2312" w:hAnsi="仿宋_GB2312" w:eastAsia="仿宋_GB2312"/>
          <w:spacing w:val="-10"/>
          <w:position w:val="3"/>
          <w:sz w:val="32"/>
        </w:rPr>
        <w:t>属</w:t>
      </w:r>
      <w:r>
        <w:rPr>
          <w:rFonts w:hint="eastAsia" w:ascii="仿宋_GB2312" w:hAnsi="仿宋_GB2312" w:eastAsia="仿宋_GB2312"/>
          <w:spacing w:val="-10"/>
          <w:position w:val="3"/>
          <w:sz w:val="32"/>
          <w:lang w:eastAsia="zh-CN"/>
        </w:rPr>
        <w:t>事业单位</w:t>
      </w:r>
      <w:r>
        <w:rPr>
          <w:rFonts w:hint="eastAsia" w:ascii="仿宋_GB2312" w:hAnsi="仿宋_GB2312" w:eastAsia="仿宋_GB2312"/>
          <w:spacing w:val="-10"/>
          <w:position w:val="3"/>
          <w:sz w:val="32"/>
        </w:rPr>
        <w:t>包括：</w:t>
      </w:r>
      <w:r>
        <w:rPr>
          <w:rFonts w:hint="eastAsia" w:ascii="仿宋_GB2312" w:hAnsi="仿宋_GB2312" w:eastAsia="仿宋_GB2312"/>
          <w:spacing w:val="-10"/>
          <w:position w:val="3"/>
          <w:sz w:val="32"/>
          <w:lang w:eastAsia="zh-CN"/>
        </w:rPr>
        <w:t>磴口县事业单位登记服务中心，无独立法人，财务不独立核算。</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olor w:val="auto"/>
          <w:kern w:val="2"/>
          <w:sz w:val="32"/>
        </w:rPr>
      </w:pPr>
      <w:r>
        <w:rPr>
          <w:rFonts w:hint="eastAsia" w:ascii="仿宋_GB2312" w:hAnsi="仿宋_GB2312" w:eastAsia="仿宋_GB2312" w:cs="仿宋_GB2312"/>
          <w:color w:val="auto"/>
          <w:kern w:val="2"/>
          <w:sz w:val="32"/>
        </w:rPr>
        <w:t>2</w:t>
      </w:r>
      <w:r>
        <w:rPr>
          <w:rFonts w:hint="eastAsia" w:ascii="仿宋_GB2312" w:hAnsi="仿宋_GB2312" w:eastAsia="仿宋_GB2312" w:cs="仿宋_GB2312"/>
          <w:color w:val="auto"/>
          <w:kern w:val="2"/>
          <w:sz w:val="32"/>
          <w:lang w:eastAsia="zh-CN"/>
        </w:rPr>
        <w:t>、</w:t>
      </w:r>
      <w:r>
        <w:rPr>
          <w:rFonts w:hint="eastAsia" w:ascii="仿宋_GB2312" w:hAnsi="仿宋_GB2312" w:eastAsia="仿宋_GB2312"/>
          <w:color w:val="auto"/>
          <w:kern w:val="2"/>
          <w:sz w:val="32"/>
        </w:rPr>
        <w:t>从决算单位构成看，纳入本部门202</w:t>
      </w:r>
      <w:r>
        <w:rPr>
          <w:rFonts w:hint="eastAsia" w:ascii="仿宋_GB2312" w:hAnsi="仿宋_GB2312" w:eastAsia="仿宋_GB2312"/>
          <w:color w:val="auto"/>
          <w:kern w:val="2"/>
          <w:sz w:val="32"/>
          <w:lang w:val="en-US" w:eastAsia="zh-CN"/>
        </w:rPr>
        <w:t>4</w:t>
      </w:r>
      <w:r>
        <w:rPr>
          <w:rFonts w:hint="eastAsia" w:ascii="仿宋_GB2312" w:hAnsi="仿宋_GB2312" w:eastAsia="仿宋_GB2312"/>
          <w:color w:val="auto"/>
          <w:kern w:val="2"/>
          <w:sz w:val="32"/>
        </w:rPr>
        <w:t>年部门汇总决算编制范围的预算单位</w:t>
      </w:r>
      <w:r>
        <w:rPr>
          <w:rFonts w:hint="eastAsia" w:ascii="仿宋_GB2312" w:hAnsi="仿宋_GB2312" w:eastAsia="仿宋_GB2312"/>
          <w:color w:val="auto"/>
          <w:kern w:val="2"/>
          <w:sz w:val="32"/>
          <w:lang w:val="en-US" w:eastAsia="zh-CN"/>
        </w:rPr>
        <w:t>共计1家，具体包括：中共磴口县委员会机构编制委员会办公室本级。</w:t>
      </w:r>
      <w:r>
        <w:rPr>
          <w:rFonts w:hint="eastAsia" w:ascii="仿宋_GB2312" w:hAnsi="仿宋_GB2312" w:eastAsia="仿宋_GB2312"/>
          <w:color w:val="auto"/>
          <w:kern w:val="2"/>
          <w:sz w:val="32"/>
        </w:rPr>
        <w:t>详细情况见表：</w:t>
      </w:r>
    </w:p>
    <w:tbl>
      <w:tblPr>
        <w:tblStyle w:val="23"/>
        <w:tblW w:w="8433" w:type="dxa"/>
        <w:jc w:val="center"/>
        <w:tblInd w:w="64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73"/>
        <w:gridCol w:w="4722"/>
        <w:gridCol w:w="25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8" w:hRule="atLeast"/>
          <w:jc w:val="center"/>
        </w:trPr>
        <w:tc>
          <w:tcPr>
            <w:tcW w:w="1173"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ordWrap/>
              <w:overflowPunct/>
              <w:topLinePunct w:val="0"/>
              <w:bidi w:val="0"/>
              <w:spacing w:line="360" w:lineRule="auto"/>
              <w:jc w:val="center"/>
              <w:rPr>
                <w:rFonts w:hint="eastAsia" w:ascii="Times New Roman" w:hAnsi="Times New Roman" w:eastAsia="Times New Roman"/>
                <w:color w:val="000000"/>
                <w:sz w:val="32"/>
                <w:szCs w:val="32"/>
              </w:rPr>
            </w:pPr>
            <w:r>
              <w:rPr>
                <w:rFonts w:hint="eastAsia" w:ascii="仿宋_GB2312" w:hAnsi="仿宋_GB2312" w:eastAsia="仿宋_GB2312"/>
                <w:color w:val="000000"/>
                <w:sz w:val="32"/>
                <w:szCs w:val="32"/>
              </w:rPr>
              <w:t>序号</w:t>
            </w:r>
          </w:p>
        </w:tc>
        <w:tc>
          <w:tcPr>
            <w:tcW w:w="472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ordWrap/>
              <w:overflowPunct/>
              <w:topLinePunct w:val="0"/>
              <w:bidi w:val="0"/>
              <w:spacing w:line="360" w:lineRule="auto"/>
              <w:jc w:val="center"/>
              <w:rPr>
                <w:rFonts w:hint="eastAsia" w:ascii="Times New Roman" w:hAnsi="Times New Roman" w:eastAsia="Times New Roman"/>
                <w:color w:val="000000"/>
                <w:sz w:val="32"/>
                <w:szCs w:val="32"/>
              </w:rPr>
            </w:pPr>
            <w:r>
              <w:rPr>
                <w:rFonts w:hint="eastAsia" w:ascii="仿宋_GB2312" w:hAnsi="仿宋_GB2312" w:eastAsia="仿宋_GB2312"/>
                <w:color w:val="000000"/>
                <w:sz w:val="32"/>
                <w:szCs w:val="32"/>
              </w:rPr>
              <w:t>单位名称</w:t>
            </w:r>
          </w:p>
        </w:tc>
        <w:tc>
          <w:tcPr>
            <w:tcW w:w="253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ordWrap/>
              <w:overflowPunct/>
              <w:topLinePunct w:val="0"/>
              <w:bidi w:val="0"/>
              <w:spacing w:line="360" w:lineRule="auto"/>
              <w:jc w:val="center"/>
              <w:rPr>
                <w:rFonts w:hint="eastAsia" w:ascii="Times New Roman" w:hAnsi="Times New Roman" w:eastAsia="Times New Roman"/>
                <w:color w:val="000000"/>
                <w:sz w:val="32"/>
                <w:szCs w:val="32"/>
              </w:rPr>
            </w:pPr>
            <w:r>
              <w:rPr>
                <w:rFonts w:hint="eastAsia" w:ascii="仿宋_GB2312" w:hAnsi="仿宋_GB2312" w:eastAsia="仿宋_GB2312"/>
                <w:color w:val="000000"/>
                <w:sz w:val="32"/>
                <w:szCs w:val="32"/>
              </w:rPr>
              <w:t>单位性质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50" w:hRule="atLeast"/>
          <w:jc w:val="center"/>
        </w:trPr>
        <w:tc>
          <w:tcPr>
            <w:tcW w:w="1173"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val="0"/>
              <w:wordWrap/>
              <w:overflowPunct/>
              <w:topLinePunct w:val="0"/>
              <w:bidi w:val="0"/>
              <w:snapToGrid w:val="0"/>
              <w:spacing w:line="360" w:lineRule="auto"/>
              <w:ind w:left="18"/>
              <w:jc w:val="center"/>
              <w:textAlignment w:val="baseline"/>
              <w:rPr>
                <w:rFonts w:hint="default" w:ascii="Times New Roman" w:hAnsi="Times New Roman" w:eastAsia="宋体"/>
                <w:color w:val="000000"/>
                <w:sz w:val="32"/>
                <w:szCs w:val="32"/>
                <w:lang w:val="en-US" w:eastAsia="zh-CN"/>
              </w:rPr>
            </w:pPr>
            <w:r>
              <w:rPr>
                <w:rFonts w:hint="eastAsia" w:eastAsia="宋体"/>
                <w:color w:val="000000"/>
                <w:sz w:val="32"/>
                <w:szCs w:val="32"/>
                <w:lang w:val="en-US" w:eastAsia="zh-CN"/>
              </w:rPr>
              <w:t xml:space="preserve">     1</w:t>
            </w:r>
          </w:p>
        </w:tc>
        <w:tc>
          <w:tcPr>
            <w:tcW w:w="472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val="0"/>
              <w:wordWrap/>
              <w:overflowPunct/>
              <w:topLinePunct w:val="0"/>
              <w:bidi w:val="0"/>
              <w:snapToGrid w:val="0"/>
              <w:spacing w:line="360" w:lineRule="auto"/>
              <w:ind w:left="18"/>
              <w:jc w:val="center"/>
              <w:textAlignment w:val="baseline"/>
              <w:rPr>
                <w:rFonts w:hint="eastAsia" w:ascii="Times New Roman" w:hAnsi="Times New Roman" w:eastAsia="Times New Roman"/>
                <w:color w:val="000000"/>
                <w:sz w:val="32"/>
                <w:szCs w:val="32"/>
              </w:rPr>
            </w:pPr>
            <w:r>
              <w:rPr>
                <w:rFonts w:hint="eastAsia" w:ascii="仿宋_GB2312" w:hAnsi="仿宋_GB2312" w:eastAsia="仿宋_GB2312"/>
                <w:spacing w:val="-10"/>
                <w:position w:val="3"/>
                <w:sz w:val="32"/>
                <w:szCs w:val="32"/>
                <w:lang w:eastAsia="zh-CN"/>
              </w:rPr>
              <w:t>中共磴口县委员会机构编制委员会办公室</w:t>
            </w:r>
          </w:p>
        </w:tc>
        <w:tc>
          <w:tcPr>
            <w:tcW w:w="253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val="0"/>
              <w:wordWrap/>
              <w:overflowPunct/>
              <w:topLinePunct w:val="0"/>
              <w:bidi w:val="0"/>
              <w:snapToGrid w:val="0"/>
              <w:spacing w:line="360" w:lineRule="auto"/>
              <w:jc w:val="center"/>
              <w:textAlignment w:val="baseline"/>
              <w:rPr>
                <w:rFonts w:hint="eastAsia" w:ascii="Times New Roman" w:hAnsi="Times New Roman" w:eastAsia="Times New Roman"/>
                <w:color w:val="000000"/>
                <w:sz w:val="32"/>
                <w:szCs w:val="32"/>
              </w:rPr>
            </w:pPr>
            <w:r>
              <w:rPr>
                <w:rFonts w:hint="eastAsia" w:ascii="仿宋_GB2312" w:hAnsi="仿宋_GB2312" w:eastAsia="仿宋_GB2312"/>
                <w:spacing w:val="-10"/>
                <w:position w:val="3"/>
                <w:sz w:val="32"/>
                <w:szCs w:val="32"/>
              </w:rPr>
              <w:t>财政拨款的行政单位</w:t>
            </w:r>
          </w:p>
        </w:tc>
      </w:tr>
    </w:tbl>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黑体" w:hAnsi="黑体" w:eastAsia="黑体" w:cs="Times New Roman"/>
          <w:b/>
          <w:color w:val="auto"/>
          <w:kern w:val="2"/>
          <w:sz w:val="32"/>
          <w:szCs w:val="32"/>
        </w:rPr>
      </w:pPr>
      <w:r>
        <w:rPr>
          <w:rFonts w:hint="eastAsia" w:ascii="黑体" w:hAnsi="黑体" w:eastAsia="黑体" w:cs="Times New Roman"/>
          <w:b/>
          <w:color w:val="auto"/>
          <w:kern w:val="2"/>
          <w:sz w:val="32"/>
          <w:szCs w:val="32"/>
        </w:rPr>
        <w:t>三、2024年度部门（单位）主要工作完成情况</w:t>
      </w:r>
    </w:p>
    <w:p>
      <w:pPr>
        <w:keepNext w:val="0"/>
        <w:keepLines w:val="0"/>
        <w:pageBreakBefore w:val="0"/>
        <w:widowControl w:val="0"/>
        <w:kinsoku/>
        <w:wordWrap/>
        <w:overflowPunct/>
        <w:topLinePunct w:val="0"/>
        <w:autoSpaceDE/>
        <w:autoSpaceDN/>
        <w:bidi w:val="0"/>
        <w:adjustRightInd/>
        <w:snapToGrid/>
        <w:spacing w:line="360" w:lineRule="auto"/>
        <w:ind w:firstLine="540" w:firstLineChars="200"/>
        <w:jc w:val="both"/>
        <w:textAlignment w:val="auto"/>
        <w:rPr>
          <w:rFonts w:hint="eastAsia" w:ascii="楷体_GB2312" w:hAnsi="楷体_GB2312" w:eastAsia="楷体_GB2312" w:cs="楷体_GB2312"/>
          <w:b/>
          <w:bCs/>
          <w:color w:val="auto"/>
          <w:sz w:val="32"/>
          <w:szCs w:val="32"/>
          <w:lang w:val="en-US" w:eastAsia="zh-CN"/>
        </w:rPr>
      </w:pPr>
      <w:r>
        <w:rPr>
          <w:rFonts w:ascii="仿宋_GB2312" w:hAnsi="仿宋_GB2312" w:eastAsia="仿宋_GB2312" w:cs="仿宋_GB2312"/>
          <w:kern w:val="0"/>
          <w:sz w:val="27"/>
          <w:szCs w:val="27"/>
        </w:rPr>
        <w:t> </w:t>
      </w:r>
      <w:r>
        <w:rPr>
          <w:rFonts w:hint="eastAsia" w:ascii="楷体_GB2312" w:hAnsi="楷体_GB2312" w:eastAsia="楷体_GB2312" w:cs="楷体_GB2312"/>
          <w:b/>
          <w:bCs/>
          <w:color w:val="auto"/>
          <w:sz w:val="32"/>
          <w:szCs w:val="32"/>
          <w:lang w:val="en-US" w:eastAsia="zh-CN"/>
        </w:rPr>
        <w:t>（一）稳步有序推进党政机构改革</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机构改革工作启动以来，县委编办充分发挥机构改革组织实施“主力军”和“施工队”作用，认真贯彻落实党中央、自治区党委、市委、县委机构改革实施意见精神，</w:t>
      </w:r>
      <w:r>
        <w:rPr>
          <w:rFonts w:hint="eastAsia" w:ascii="仿宋_GB2312" w:hAnsi="仿宋_GB2312" w:eastAsia="仿宋_GB2312" w:cs="仿宋_GB2312"/>
          <w:b w:val="0"/>
          <w:bCs w:val="0"/>
          <w:color w:val="auto"/>
          <w:sz w:val="32"/>
          <w:szCs w:val="32"/>
          <w:lang w:val="en-US" w:eastAsia="zh-CN"/>
        </w:rPr>
        <w:t>深入县内各部门开展机构编制工作调研,加强与涉改部门的沟通对接,有序推动并完成改革方案的审议报批、实施意见的制定印发、动员部署、领导职数编制框架拟定、人员转隶、“三定”规定制定、部门职责调整、机构挂牌和印章刻制等各项改革任务。改革工作中，贯彻落实铸牢中华民族共同体意识工作主线，在部门“三定”规定和调整文件中全部明确铸牢中华民族共同体意识工作职能，新制定印发部门（单位）“三定”规定</w:t>
      </w:r>
      <w:r>
        <w:rPr>
          <w:rFonts w:hint="eastAsia" w:ascii="仿宋_GB2312" w:hAnsi="仿宋_GB2312" w:eastAsia="仿宋_GB2312" w:cs="仿宋_GB2312"/>
          <w:b w:val="0"/>
          <w:bCs w:val="0"/>
          <w:color w:val="auto"/>
          <w:sz w:val="32"/>
          <w:szCs w:val="32"/>
          <w:u w:val="none"/>
          <w:lang w:val="en-US" w:eastAsia="zh-CN"/>
        </w:rPr>
        <w:t>21个、机构编制事项调整通知41个，转隶人员43名。</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（二）深入推进苏木镇改革</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lang w:val="en-US" w:eastAsia="zh-CN"/>
        </w:rPr>
        <w:t>按照改革精神，结合我县</w:t>
      </w:r>
      <w:r>
        <w:rPr>
          <w:rFonts w:hint="eastAsia" w:ascii="仿宋_GB2312" w:hAnsi="仿宋_GB2312" w:eastAsia="仿宋_GB2312" w:cs="仿宋_GB2312"/>
          <w:color w:val="auto"/>
          <w:sz w:val="32"/>
          <w:szCs w:val="32"/>
          <w:lang w:val="en-US" w:eastAsia="zh-CN"/>
        </w:rPr>
        <w:t>苏木镇实际,统筹设置各苏木镇内设机构和事业单位。</w:t>
      </w:r>
      <w:r>
        <w:rPr>
          <w:rFonts w:hint="eastAsia" w:ascii="仿宋_GB2312" w:hAnsi="仿宋_GB2312" w:eastAsia="仿宋_GB2312" w:cs="仿宋_GB2312"/>
          <w:b w:val="0"/>
          <w:bCs/>
          <w:color w:val="auto"/>
          <w:sz w:val="32"/>
          <w:szCs w:val="32"/>
          <w:lang w:val="en-US" w:eastAsia="zh-CN"/>
        </w:rPr>
        <w:t>根据</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苏木乡镇(街道)编制核定办法</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,重新测算核定了各苏木镇行政编制</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rPr>
        <w:t>按照《关于印发&lt;内蒙古自治区赋予苏木乡镇（街道）行政执法权力指导目录&gt;的通知》文件精神</w:t>
      </w:r>
      <w:r>
        <w:rPr>
          <w:rFonts w:hint="eastAsia" w:ascii="仿宋_GB2312" w:hAnsi="仿宋_GB2312" w:eastAsia="仿宋_GB2312" w:cs="仿宋_GB2312"/>
          <w:color w:val="auto"/>
          <w:sz w:val="32"/>
          <w:szCs w:val="32"/>
          <w:lang w:eastAsia="zh-CN"/>
        </w:rPr>
        <w:t>，牵头组织</w:t>
      </w:r>
      <w:r>
        <w:rPr>
          <w:rFonts w:hint="eastAsia" w:ascii="仿宋_GB2312" w:hAnsi="仿宋_GB2312" w:eastAsia="仿宋_GB2312" w:cs="仿宋_GB2312"/>
          <w:color w:val="auto"/>
          <w:sz w:val="32"/>
          <w:szCs w:val="32"/>
        </w:rPr>
        <w:t>各苏木镇对自治区下放的5</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项行政</w:t>
      </w:r>
      <w:r>
        <w:rPr>
          <w:rFonts w:hint="eastAsia" w:ascii="仿宋_GB2312" w:hAnsi="仿宋_GB2312" w:eastAsia="仿宋_GB2312" w:cs="仿宋_GB2312"/>
          <w:color w:val="auto"/>
          <w:sz w:val="32"/>
          <w:szCs w:val="32"/>
          <w:lang w:val="en-US" w:eastAsia="zh-CN"/>
        </w:rPr>
        <w:t>执法</w:t>
      </w:r>
      <w:r>
        <w:rPr>
          <w:rFonts w:hint="eastAsia" w:ascii="仿宋_GB2312" w:hAnsi="仿宋_GB2312" w:eastAsia="仿宋_GB2312" w:cs="仿宋_GB2312"/>
          <w:color w:val="auto"/>
          <w:sz w:val="32"/>
          <w:szCs w:val="32"/>
        </w:rPr>
        <w:t>权力事项</w:t>
      </w:r>
      <w:r>
        <w:rPr>
          <w:rFonts w:hint="eastAsia" w:ascii="仿宋_GB2312" w:hAnsi="仿宋_GB2312" w:eastAsia="仿宋_GB2312" w:cs="仿宋_GB2312"/>
          <w:color w:val="auto"/>
          <w:sz w:val="32"/>
          <w:szCs w:val="32"/>
          <w:lang w:eastAsia="zh-CN"/>
        </w:rPr>
        <w:t>进行认真</w:t>
      </w:r>
      <w:r>
        <w:rPr>
          <w:rFonts w:hint="eastAsia" w:ascii="仿宋_GB2312" w:hAnsi="仿宋_GB2312" w:eastAsia="仿宋_GB2312" w:cs="仿宋_GB2312"/>
          <w:color w:val="auto"/>
          <w:sz w:val="32"/>
          <w:szCs w:val="32"/>
        </w:rPr>
        <w:t>梳理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印发了《</w:t>
      </w:r>
      <w:r>
        <w:rPr>
          <w:rFonts w:hint="eastAsia" w:ascii="仿宋_GB2312" w:hAnsi="仿宋_GB2312" w:eastAsia="仿宋_GB2312" w:cs="仿宋_GB2312"/>
          <w:color w:val="auto"/>
          <w:sz w:val="32"/>
          <w:szCs w:val="32"/>
        </w:rPr>
        <w:t>关于公布磴口县各苏木镇承接自治区下放行政</w:t>
      </w:r>
      <w:r>
        <w:rPr>
          <w:rFonts w:hint="eastAsia" w:ascii="仿宋_GB2312" w:hAnsi="仿宋_GB2312" w:eastAsia="仿宋_GB2312" w:cs="仿宋_GB2312"/>
          <w:color w:val="auto"/>
          <w:sz w:val="32"/>
          <w:szCs w:val="32"/>
          <w:lang w:val="en-US" w:eastAsia="zh-CN"/>
        </w:rPr>
        <w:t>执法</w:t>
      </w:r>
      <w:r>
        <w:rPr>
          <w:rFonts w:hint="eastAsia" w:ascii="仿宋_GB2312" w:hAnsi="仿宋_GB2312" w:eastAsia="仿宋_GB2312" w:cs="仿宋_GB2312"/>
          <w:color w:val="auto"/>
          <w:sz w:val="32"/>
          <w:szCs w:val="32"/>
        </w:rPr>
        <w:t>权力事项清单的通知</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，明确了各苏木镇承接事项，确保自治区赋予苏木镇行政执法权力事项有效承接。</w:t>
      </w:r>
      <w:r>
        <w:rPr>
          <w:rFonts w:hint="eastAsia" w:ascii="仿宋_GB2312" w:hAnsi="仿宋_GB2312" w:eastAsia="仿宋_GB2312" w:cs="仿宋_GB2312"/>
          <w:b/>
          <w:bCs/>
          <w:color w:val="auto"/>
          <w:sz w:val="32"/>
          <w:szCs w:val="32"/>
          <w:lang w:eastAsia="zh-CN"/>
        </w:rPr>
        <w:t>三是</w:t>
      </w:r>
      <w:r>
        <w:rPr>
          <w:rFonts w:hint="eastAsia" w:ascii="仿宋_GB2312" w:hAnsi="仿宋_GB2312" w:eastAsia="仿宋_GB2312" w:cs="仿宋_GB2312"/>
          <w:b w:val="0"/>
          <w:bCs w:val="0"/>
          <w:color w:val="auto"/>
          <w:sz w:val="32"/>
          <w:szCs w:val="32"/>
          <w:lang w:eastAsia="zh-CN"/>
        </w:rPr>
        <w:t>认真贯彻执行</w:t>
      </w:r>
      <w:r>
        <w:rPr>
          <w:rFonts w:hint="eastAsia" w:ascii="仿宋_GB2312" w:hAnsi="仿宋_GB2312" w:eastAsia="仿宋_GB2312" w:cs="仿宋_GB2312"/>
          <w:b w:val="0"/>
          <w:bCs w:val="0"/>
          <w:color w:val="auto"/>
          <w:sz w:val="32"/>
          <w:szCs w:val="32"/>
          <w:lang w:val="en-US" w:eastAsia="zh-CN"/>
        </w:rPr>
        <w:t>《内蒙古自治区苏木乡镇和街道职责事项指导目录》，由</w:t>
      </w:r>
      <w:r>
        <w:rPr>
          <w:rFonts w:hint="eastAsia" w:ascii="仿宋_GB2312" w:hAnsi="仿宋_GB2312" w:eastAsia="仿宋_GB2312" w:cs="仿宋_GB2312"/>
          <w:color w:val="auto"/>
          <w:sz w:val="32"/>
          <w:szCs w:val="32"/>
          <w:lang w:val="en-US" w:eastAsia="zh-CN"/>
        </w:rPr>
        <w:t>县委编办牵头，组织相关部门针对各苏木镇不同情况梳理明确各苏木镇职责权限事项，并印发公布了《磴口县苏木镇职责权限事项清单》。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（三）切实加强机构编制管理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eastAsia="仿宋_GB2312"/>
          <w:b/>
          <w:bCs/>
          <w:color w:val="auto"/>
          <w:sz w:val="32"/>
          <w:szCs w:val="32"/>
          <w:lang w:eastAsia="zh-CN"/>
        </w:rPr>
        <w:t>一是</w:t>
      </w:r>
      <w:r>
        <w:rPr>
          <w:rFonts w:hint="eastAsia" w:ascii="仿宋_GB2312" w:eastAsia="仿宋_GB2312"/>
          <w:b w:val="0"/>
          <w:bCs/>
          <w:color w:val="auto"/>
          <w:sz w:val="32"/>
          <w:szCs w:val="32"/>
          <w:lang w:val="en-US" w:eastAsia="zh-CN"/>
        </w:rPr>
        <w:t>统筹编制资源配置。</w:t>
      </w:r>
      <w:r>
        <w:rPr>
          <w:rFonts w:hint="eastAsia" w:ascii="仿宋_GB2312" w:hAnsi="仿宋_GB2312" w:eastAsia="仿宋_GB2312" w:cs="仿宋_GB2312"/>
          <w:color w:val="auto"/>
          <w:sz w:val="32"/>
          <w:szCs w:val="32"/>
          <w:lang w:val="en-US" w:eastAsia="zh-CN"/>
        </w:rPr>
        <w:t>结合全县行政事业编制空编情况，上报2025年事业单位公开招聘空编计划</w:t>
      </w:r>
      <w:r>
        <w:rPr>
          <w:rFonts w:hint="eastAsia" w:ascii="仿宋_GB2312" w:hAnsi="仿宋_GB2312" w:eastAsia="仿宋_GB2312" w:cs="仿宋_GB2312"/>
          <w:color w:val="auto"/>
          <w:sz w:val="32"/>
          <w:szCs w:val="32"/>
          <w:u w:val="none"/>
          <w:lang w:val="en-US" w:eastAsia="zh-CN"/>
        </w:rPr>
        <w:t>149</w:t>
      </w:r>
      <w:r>
        <w:rPr>
          <w:rFonts w:hint="eastAsia" w:ascii="仿宋_GB2312" w:hAnsi="仿宋_GB2312" w:eastAsia="仿宋_GB2312" w:cs="仿宋_GB2312"/>
          <w:color w:val="auto"/>
          <w:sz w:val="32"/>
          <w:szCs w:val="32"/>
          <w:lang w:val="en-US" w:eastAsia="zh-CN"/>
        </w:rPr>
        <w:t>名。为县委党校增核</w:t>
      </w:r>
      <w:r>
        <w:rPr>
          <w:rFonts w:hint="eastAsia" w:ascii="仿宋_GB2312" w:hAnsi="仿宋_GB2312" w:eastAsia="仿宋_GB2312" w:cs="仿宋_GB2312"/>
          <w:color w:val="auto"/>
          <w:sz w:val="32"/>
          <w:szCs w:val="32"/>
          <w:u w:val="none"/>
          <w:lang w:val="en-US" w:eastAsia="zh-CN"/>
        </w:rPr>
        <w:t>7</w:t>
      </w:r>
      <w:r>
        <w:rPr>
          <w:rFonts w:hint="eastAsia" w:ascii="仿宋_GB2312" w:hAnsi="仿宋_GB2312" w:eastAsia="仿宋_GB2312" w:cs="仿宋_GB2312"/>
          <w:color w:val="auto"/>
          <w:sz w:val="32"/>
          <w:szCs w:val="32"/>
          <w:lang w:val="en-US" w:eastAsia="zh-CN"/>
        </w:rPr>
        <w:t>名编制专门用于党校专任教师。为应急管理综合行政执法队伍增核</w:t>
      </w:r>
      <w:r>
        <w:rPr>
          <w:rFonts w:hint="eastAsia" w:ascii="仿宋_GB2312" w:hAnsi="仿宋_GB2312" w:eastAsia="仿宋_GB2312" w:cs="仿宋_GB2312"/>
          <w:color w:val="auto"/>
          <w:sz w:val="32"/>
          <w:szCs w:val="32"/>
          <w:u w:val="none"/>
          <w:lang w:val="en-US" w:eastAsia="zh-CN"/>
        </w:rPr>
        <w:t>4</w:t>
      </w:r>
      <w:r>
        <w:rPr>
          <w:rFonts w:hint="eastAsia" w:ascii="仿宋_GB2312" w:hAnsi="仿宋_GB2312" w:eastAsia="仿宋_GB2312" w:cs="仿宋_GB2312"/>
          <w:color w:val="auto"/>
          <w:sz w:val="32"/>
          <w:szCs w:val="32"/>
          <w:lang w:val="en-US" w:eastAsia="zh-CN"/>
        </w:rPr>
        <w:t>名事业编制专门用于充实行政执法人员。</w:t>
      </w:r>
      <w:r>
        <w:rPr>
          <w:rFonts w:hint="eastAsia" w:ascii="仿宋_GB2312" w:hAnsi="仿宋_GB2312" w:eastAsia="仿宋_GB2312" w:cs="仿宋_GB2312"/>
          <w:b/>
          <w:bCs/>
          <w:color w:val="auto"/>
          <w:spacing w:val="0"/>
          <w:sz w:val="32"/>
          <w:szCs w:val="32"/>
          <w:shd w:val="clear" w:color="auto" w:fill="FFFFFF"/>
          <w:lang w:eastAsia="zh-CN"/>
        </w:rPr>
        <w:t>二是</w:t>
      </w:r>
      <w:r>
        <w:rPr>
          <w:rFonts w:hint="eastAsia" w:ascii="仿宋_GB2312" w:hAnsi="仿宋_GB2312" w:eastAsia="仿宋_GB2312" w:cs="仿宋_GB2312"/>
          <w:b w:val="0"/>
          <w:bCs w:val="0"/>
          <w:color w:val="auto"/>
          <w:sz w:val="32"/>
          <w:szCs w:val="32"/>
          <w:lang w:val="en-US" w:eastAsia="zh-CN"/>
        </w:rPr>
        <w:t>加强人才队伍建设机构编制保障。</w:t>
      </w:r>
      <w:r>
        <w:rPr>
          <w:rFonts w:hint="eastAsia" w:ascii="仿宋_GB2312" w:hAnsi="仿宋_GB2312" w:eastAsia="仿宋_GB2312" w:cs="仿宋_GB2312"/>
          <w:b w:val="0"/>
          <w:bCs w:val="0"/>
          <w:color w:val="auto"/>
          <w:spacing w:val="0"/>
          <w:sz w:val="32"/>
          <w:szCs w:val="32"/>
          <w:shd w:val="clear" w:color="auto" w:fill="FFFFFF"/>
          <w:lang w:val="en-US" w:eastAsia="zh-CN"/>
        </w:rPr>
        <w:t>为新考录</w:t>
      </w:r>
      <w:r>
        <w:rPr>
          <w:rFonts w:hint="eastAsia" w:ascii="仿宋_GB2312" w:hAnsi="仿宋_GB2312" w:eastAsia="仿宋_GB2312" w:cs="仿宋_GB2312"/>
          <w:b w:val="0"/>
          <w:bCs w:val="0"/>
          <w:color w:val="auto"/>
          <w:spacing w:val="0"/>
          <w:sz w:val="32"/>
          <w:szCs w:val="32"/>
          <w:u w:val="none"/>
          <w:shd w:val="clear" w:color="auto" w:fill="FFFFFF"/>
          <w:lang w:val="en-US" w:eastAsia="zh-CN"/>
        </w:rPr>
        <w:t>55</w:t>
      </w:r>
      <w:r>
        <w:rPr>
          <w:rFonts w:hint="eastAsia" w:ascii="仿宋_GB2312" w:hAnsi="仿宋_GB2312" w:eastAsia="仿宋_GB2312" w:cs="仿宋_GB2312"/>
          <w:b w:val="0"/>
          <w:bCs w:val="0"/>
          <w:color w:val="auto"/>
          <w:spacing w:val="0"/>
          <w:sz w:val="32"/>
          <w:szCs w:val="32"/>
          <w:shd w:val="clear" w:color="auto" w:fill="FFFFFF"/>
          <w:lang w:val="en-US" w:eastAsia="zh-CN"/>
        </w:rPr>
        <w:t>名公务员（选调生、参公事业人员）、新招聘</w:t>
      </w:r>
      <w:r>
        <w:rPr>
          <w:rFonts w:hint="eastAsia" w:ascii="仿宋_GB2312" w:hAnsi="仿宋_GB2312" w:eastAsia="仿宋_GB2312" w:cs="仿宋_GB2312"/>
          <w:b w:val="0"/>
          <w:bCs w:val="0"/>
          <w:color w:val="auto"/>
          <w:spacing w:val="0"/>
          <w:sz w:val="32"/>
          <w:szCs w:val="32"/>
          <w:u w:val="none"/>
          <w:shd w:val="clear" w:color="auto" w:fill="FFFFFF"/>
          <w:lang w:val="en-US" w:eastAsia="zh-CN"/>
        </w:rPr>
        <w:t>27名事业人员、10名卫生专业技术人员</w:t>
      </w:r>
      <w:r>
        <w:rPr>
          <w:rFonts w:hint="eastAsia" w:ascii="仿宋_GB2312" w:hAnsi="仿宋_GB2312" w:eastAsia="仿宋_GB2312" w:cs="仿宋_GB2312"/>
          <w:color w:val="auto"/>
          <w:sz w:val="32"/>
          <w:szCs w:val="32"/>
          <w:u w:val="none"/>
          <w:lang w:val="en-US" w:eastAsia="zh-CN"/>
        </w:rPr>
        <w:t>办理了列编手续，</w:t>
      </w:r>
      <w:r>
        <w:rPr>
          <w:rFonts w:hint="eastAsia" w:ascii="仿宋_GB2312" w:hAnsi="仿宋_GB2312" w:eastAsia="仿宋_GB2312" w:cs="仿宋_GB2312"/>
          <w:color w:val="auto"/>
          <w:sz w:val="32"/>
          <w:szCs w:val="32"/>
          <w:lang w:val="en-US" w:eastAsia="zh-CN"/>
        </w:rPr>
        <w:t>进一步保障全县重点领域急需紧缺专业技术人才队伍建设。推动遗留问题妥善解决，为全县七、八、九批人才储备108人办理列编手续。</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val="0"/>
          <w:bCs w:val="0"/>
          <w:color w:val="auto"/>
          <w:sz w:val="32"/>
          <w:szCs w:val="32"/>
          <w:lang w:val="en-US" w:eastAsia="zh-CN"/>
        </w:rPr>
        <w:t>推进机构编制管理工作规范化、法定化。</w:t>
      </w:r>
      <w:r>
        <w:rPr>
          <w:rFonts w:hint="eastAsia" w:ascii="仿宋_GB2312" w:hAnsi="仿宋_GB2312" w:eastAsia="仿宋_GB2312" w:cs="仿宋_GB2312"/>
          <w:color w:val="auto"/>
          <w:sz w:val="32"/>
          <w:szCs w:val="32"/>
          <w:lang w:val="en-US" w:eastAsia="zh-CN"/>
        </w:rPr>
        <w:t>将习近平总书记关于机构编制工作的重要论述、习近平总书记在二十届中央编委第一次会议上的讲话精神、《中国共产党机构编制工作条例》等重要内容纳入县委编委会议“第一议题”，</w:t>
      </w:r>
      <w:r>
        <w:rPr>
          <w:rFonts w:hint="eastAsia" w:ascii="仿宋_GB2312" w:hAnsi="微软雅黑" w:eastAsia="仿宋_GB2312" w:cs="仿宋_GB2312"/>
          <w:b w:val="0"/>
          <w:bCs/>
          <w:i w:val="0"/>
          <w:caps w:val="0"/>
          <w:color w:val="auto"/>
          <w:spacing w:val="0"/>
          <w:kern w:val="0"/>
          <w:sz w:val="32"/>
          <w:szCs w:val="32"/>
          <w:shd w:val="clear" w:color="auto" w:fill="FFFFFF"/>
          <w:lang w:val="en-US" w:eastAsia="zh-CN" w:bidi="ar"/>
        </w:rPr>
        <w:t>进一步提高</w:t>
      </w:r>
      <w:r>
        <w:rPr>
          <w:rFonts w:hint="eastAsia" w:ascii="仿宋_GB2312" w:hAnsi="仿宋_GB2312" w:eastAsia="仿宋_GB2312" w:cs="仿宋_GB2312"/>
          <w:i w:val="0"/>
          <w:caps w:val="0"/>
          <w:color w:val="auto"/>
          <w:spacing w:val="0"/>
          <w:kern w:val="0"/>
          <w:sz w:val="32"/>
          <w:szCs w:val="32"/>
          <w:shd w:val="clear" w:fill="FFFFFF"/>
          <w:lang w:val="en-US" w:eastAsia="zh-CN" w:bidi="ar"/>
        </w:rPr>
        <w:t>机构编制规范管理意识。</w:t>
      </w:r>
      <w:r>
        <w:rPr>
          <w:rFonts w:hint="eastAsia" w:ascii="仿宋_GB2312" w:hAnsi="仿宋_GB2312" w:eastAsia="仿宋_GB2312" w:cs="仿宋_GB2312"/>
          <w:color w:val="auto"/>
          <w:sz w:val="32"/>
          <w:szCs w:val="32"/>
          <w:lang w:val="en-US" w:eastAsia="zh-CN"/>
        </w:rPr>
        <w:t>修订印发了《县委编委工作规则》和《县委编办工作细则》，进一步规范了机构编制管理审批工作机制。</w:t>
      </w:r>
      <w:r>
        <w:rPr>
          <w:rFonts w:hint="eastAsia" w:ascii="仿宋_GB2312" w:hAnsi="仿宋_GB2312" w:eastAsia="仿宋_GB2312" w:cs="仿宋_GB2312"/>
          <w:b/>
          <w:bCs/>
          <w:color w:val="auto"/>
          <w:sz w:val="32"/>
          <w:szCs w:val="32"/>
          <w:u w:val="none"/>
          <w:lang w:val="en-US" w:eastAsia="zh-CN"/>
        </w:rPr>
        <w:t>四是</w:t>
      </w:r>
      <w:r>
        <w:rPr>
          <w:rFonts w:hint="eastAsia" w:ascii="仿宋_GB2312" w:hAnsi="仿宋_GB2312" w:eastAsia="仿宋_GB2312" w:cs="仿宋_GB2312"/>
          <w:b w:val="0"/>
          <w:bCs w:val="0"/>
          <w:color w:val="auto"/>
          <w:sz w:val="32"/>
          <w:szCs w:val="32"/>
          <w:u w:val="none"/>
          <w:lang w:val="en-US" w:eastAsia="zh-CN"/>
        </w:rPr>
        <w:t>加强事业单位登记管理。完成事业单位法人新设立登记4个，变更登记41个，完成统一社会信用代码证注册登记2个，完成事业单位法人年度信息公示93个、完成率100%，并随机抽取12个事业单位开展了事业单位法人公示信息抽查工作。</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（四）持续深化重点领域改革</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按照疾控体制改革要求，进一步理顺疾病预防控制体制机制</w:t>
      </w:r>
      <w:r>
        <w:rPr>
          <w:rFonts w:hint="eastAsia" w:ascii="仿宋_GB2312" w:hAnsi="仿宋_GB2312" w:eastAsia="仿宋_GB2312" w:cs="仿宋_GB2312"/>
          <w:b w:val="0"/>
          <w:bCs w:val="0"/>
          <w:color w:val="auto"/>
          <w:sz w:val="32"/>
          <w:szCs w:val="32"/>
          <w:lang w:val="en-US" w:eastAsia="zh-CN"/>
        </w:rPr>
        <w:t>，重新印发《磴口县疾病预防控制中心机构职能编制的批复》。按照县域紧密型医共体改革工作要求，指导县卫健委印发《磴口县县域医共体编制统筹使用实施方案（试行）》，切实解决基层卫生专业技术人员“引不回、留不住”等问题。</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val="0"/>
          <w:bCs w:val="0"/>
          <w:color w:val="auto"/>
          <w:sz w:val="32"/>
          <w:szCs w:val="32"/>
          <w:lang w:val="en-US" w:eastAsia="zh-CN"/>
        </w:rPr>
        <w:t>理顺综合行政执法体制，</w:t>
      </w:r>
      <w:r>
        <w:rPr>
          <w:rFonts w:hint="eastAsia" w:ascii="仿宋_GB2312" w:hAnsi="仿宋_GB2312" w:eastAsia="仿宋_GB2312" w:cs="仿宋_GB2312"/>
          <w:b w:val="0"/>
          <w:bCs w:val="0"/>
          <w:i w:val="0"/>
          <w:iCs w:val="0"/>
          <w:caps w:val="0"/>
          <w:color w:val="auto"/>
          <w:spacing w:val="0"/>
          <w:sz w:val="32"/>
          <w:szCs w:val="32"/>
          <w:shd w:val="clear" w:fill="FFFFFF"/>
          <w:lang w:eastAsia="zh-CN"/>
        </w:rPr>
        <w:t>压实行业主管部门的行政执法主体责任，推动执法职能回归机关，将原委托县农牧业综合行政执法大队承担的水行政执法职能回归县水利局，明确由县水利局水政水资源管理股承担水资源管理和行政执法工作，通过</w:t>
      </w:r>
      <w:r>
        <w:rPr>
          <w:rFonts w:hint="eastAsia" w:ascii="仿宋_GB2312" w:hAnsi="仿宋_GB2312" w:eastAsia="仿宋_GB2312" w:cs="仿宋_GB2312"/>
          <w:b w:val="0"/>
          <w:bCs w:val="0"/>
          <w:color w:val="auto"/>
          <w:sz w:val="32"/>
          <w:szCs w:val="32"/>
          <w:lang w:val="en-US" w:eastAsia="zh-CN"/>
        </w:rPr>
        <w:t>优化调整水资源管理体制和领导机制，统筹调剂事业编制10名，推动水资源管理部门高效履职。</w:t>
      </w:r>
      <w:r>
        <w:rPr>
          <w:rFonts w:hint="eastAsia" w:ascii="仿宋_GB2312" w:hAnsi="仿宋_GB2312" w:eastAsia="仿宋_GB2312" w:cs="仿宋_GB2312"/>
          <w:b/>
          <w:bCs/>
          <w:color w:val="auto"/>
          <w:sz w:val="32"/>
          <w:szCs w:val="32"/>
          <w:u w:val="none"/>
          <w:lang w:val="en-US" w:eastAsia="zh-CN"/>
        </w:rPr>
        <w:t>三是</w:t>
      </w:r>
      <w:r>
        <w:rPr>
          <w:rFonts w:hint="eastAsia" w:ascii="仿宋_GB2312" w:hAnsi="仿宋_GB2312" w:eastAsia="仿宋_GB2312" w:cs="仿宋_GB2312"/>
          <w:b w:val="0"/>
          <w:bCs w:val="0"/>
          <w:color w:val="auto"/>
          <w:sz w:val="32"/>
          <w:szCs w:val="32"/>
          <w:u w:val="none"/>
          <w:lang w:val="en-US" w:eastAsia="zh-CN"/>
        </w:rPr>
        <w:t>优化市场监督管理派驻机构设置。优化调整局机关与各市场监督管理所编制资源，推动资源、服务、管理下沉。市场监督管理局派出机构由原6个市场监督管理所，调整为7个，撤销车站市场监督管理所，新设立沙金套海市场监督管理所、渡口市场监督管理所。</w:t>
      </w:r>
      <w:r>
        <w:rPr>
          <w:rFonts w:hint="eastAsia" w:ascii="仿宋_GB2312" w:hAnsi="仿宋_GB2312" w:eastAsia="仿宋_GB2312" w:cs="仿宋_GB2312"/>
          <w:b/>
          <w:bCs/>
          <w:color w:val="auto"/>
          <w:sz w:val="32"/>
          <w:szCs w:val="32"/>
          <w:u w:val="none"/>
          <w:lang w:val="en-US" w:eastAsia="zh-CN"/>
        </w:rPr>
        <w:t>四是</w:t>
      </w:r>
      <w:r>
        <w:rPr>
          <w:rFonts w:hint="eastAsia" w:ascii="仿宋_GB2312" w:hAnsi="仿宋_GB2312" w:eastAsia="仿宋_GB2312" w:cs="仿宋_GB2312"/>
          <w:b w:val="0"/>
          <w:bCs w:val="0"/>
          <w:color w:val="auto"/>
          <w:sz w:val="32"/>
          <w:szCs w:val="32"/>
          <w:u w:val="none"/>
          <w:lang w:val="en-US" w:eastAsia="zh-CN"/>
        </w:rPr>
        <w:t>优化公安派出所机构设置，每个公安派出所增核2名副科级领导职数（所长、教导员各1名）。</w:t>
      </w:r>
      <w:r>
        <w:rPr>
          <w:rFonts w:hint="eastAsia" w:ascii="仿宋_GB2312" w:hAnsi="仿宋_GB2312" w:eastAsia="仿宋_GB2312" w:cs="仿宋_GB2312"/>
          <w:b/>
          <w:bCs/>
          <w:color w:val="auto"/>
          <w:sz w:val="32"/>
          <w:szCs w:val="32"/>
          <w:u w:val="none"/>
          <w:lang w:val="en-US" w:eastAsia="zh-CN"/>
        </w:rPr>
        <w:t>五是</w:t>
      </w:r>
      <w:r>
        <w:rPr>
          <w:rFonts w:hint="eastAsia" w:ascii="仿宋_GB2312" w:hAnsi="仿宋_GB2312" w:eastAsia="仿宋_GB2312" w:cs="仿宋_GB2312"/>
          <w:b w:val="0"/>
          <w:bCs w:val="0"/>
          <w:color w:val="auto"/>
          <w:sz w:val="32"/>
          <w:szCs w:val="32"/>
          <w:lang w:val="en-US" w:eastAsia="zh-CN"/>
        </w:rPr>
        <w:t>进一步理顺工业园区管理体制机制，为磴口工业园区管理委员会统筹调整行政编制</w:t>
      </w:r>
      <w:r>
        <w:rPr>
          <w:rFonts w:hint="eastAsia" w:ascii="仿宋_GB2312" w:hAnsi="仿宋_GB2312" w:eastAsia="仿宋_GB2312" w:cs="仿宋_GB2312"/>
          <w:b w:val="0"/>
          <w:bCs w:val="0"/>
          <w:color w:val="auto"/>
          <w:sz w:val="32"/>
          <w:szCs w:val="32"/>
          <w:u w:val="none"/>
          <w:lang w:val="en-US" w:eastAsia="zh-CN"/>
        </w:rPr>
        <w:t>7</w:t>
      </w:r>
      <w:r>
        <w:rPr>
          <w:rFonts w:hint="eastAsia" w:ascii="仿宋_GB2312" w:hAnsi="仿宋_GB2312" w:eastAsia="仿宋_GB2312" w:cs="仿宋_GB2312"/>
          <w:b w:val="0"/>
          <w:bCs w:val="0"/>
          <w:color w:val="auto"/>
          <w:sz w:val="32"/>
          <w:szCs w:val="32"/>
          <w:lang w:val="en-US" w:eastAsia="zh-CN"/>
        </w:rPr>
        <w:t>名，保障工业园区高效运行。</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（五）扎实推进议事协调机构优化调整工作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黑体" w:hAnsi="黑体" w:eastAsia="黑体" w:cs="黑体"/>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按照</w:t>
      </w:r>
      <w:r>
        <w:rPr>
          <w:rFonts w:hint="eastAsia" w:ascii="仿宋_GB2312" w:hAnsi="仿宋_GB2312" w:eastAsia="仿宋_GB2312" w:cs="仿宋_GB2312"/>
          <w:color w:val="auto"/>
          <w:sz w:val="32"/>
          <w:szCs w:val="32"/>
          <w:lang w:eastAsia="zh-CN"/>
        </w:rPr>
        <w:t>《党和国家</w:t>
      </w:r>
      <w:r>
        <w:rPr>
          <w:rFonts w:hint="eastAsia" w:ascii="仿宋_GB2312" w:hAnsi="仿宋_GB2312" w:eastAsia="仿宋_GB2312" w:cs="仿宋_GB2312"/>
          <w:color w:val="auto"/>
          <w:sz w:val="32"/>
          <w:szCs w:val="32"/>
          <w:lang w:val="en-US" w:eastAsia="zh-CN"/>
        </w:rPr>
        <w:t>机构改革方案</w:t>
      </w:r>
      <w:r>
        <w:rPr>
          <w:rFonts w:hint="eastAsia" w:ascii="仿宋_GB2312" w:hAnsi="仿宋_GB2312" w:eastAsia="仿宋_GB2312" w:cs="仿宋_GB2312"/>
          <w:color w:val="auto"/>
          <w:sz w:val="32"/>
          <w:szCs w:val="32"/>
          <w:lang w:eastAsia="zh-CN"/>
        </w:rPr>
        <w:t>》、《内蒙古自治区</w:t>
      </w:r>
      <w:r>
        <w:rPr>
          <w:rFonts w:hint="eastAsia" w:ascii="仿宋_GB2312" w:hAnsi="仿宋_GB2312" w:eastAsia="仿宋_GB2312" w:cs="仿宋_GB2312"/>
          <w:color w:val="auto"/>
          <w:sz w:val="32"/>
          <w:szCs w:val="32"/>
          <w:lang w:val="en-US" w:eastAsia="zh-CN"/>
        </w:rPr>
        <w:t>机构改革实施意见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内蒙古自治区议事协调机构优化调整实施方案</w:t>
      </w:r>
      <w:r>
        <w:rPr>
          <w:rFonts w:hint="eastAsia" w:ascii="仿宋_GB2312" w:hAnsi="仿宋_GB2312" w:eastAsia="仿宋_GB2312" w:cs="仿宋_GB2312"/>
          <w:color w:val="auto"/>
          <w:sz w:val="32"/>
          <w:szCs w:val="32"/>
          <w:lang w:eastAsia="zh-CN"/>
        </w:rPr>
        <w:t>》、《巴彦淖尔市</w:t>
      </w:r>
      <w:r>
        <w:rPr>
          <w:rFonts w:hint="eastAsia" w:ascii="仿宋_GB2312" w:hAnsi="仿宋_GB2312" w:eastAsia="仿宋_GB2312" w:cs="仿宋_GB2312"/>
          <w:color w:val="auto"/>
          <w:sz w:val="32"/>
          <w:szCs w:val="32"/>
          <w:lang w:val="en-US" w:eastAsia="zh-CN"/>
        </w:rPr>
        <w:t>议事协调机构优化调整实施方案</w:t>
      </w:r>
      <w:r>
        <w:rPr>
          <w:rFonts w:hint="eastAsia" w:ascii="仿宋_GB2312" w:hAnsi="仿宋_GB2312" w:eastAsia="仿宋_GB2312" w:cs="仿宋_GB2312"/>
          <w:color w:val="auto"/>
          <w:sz w:val="32"/>
          <w:szCs w:val="32"/>
          <w:lang w:eastAsia="zh-CN"/>
        </w:rPr>
        <w:t>》和市</w:t>
      </w:r>
      <w:r>
        <w:rPr>
          <w:rFonts w:hint="eastAsia" w:ascii="仿宋_GB2312" w:hAnsi="仿宋_GB2312" w:eastAsia="仿宋_GB2312" w:cs="仿宋_GB2312"/>
          <w:color w:val="auto"/>
          <w:sz w:val="32"/>
          <w:szCs w:val="32"/>
          <w:lang w:val="en-US" w:eastAsia="zh-CN"/>
        </w:rPr>
        <w:t xml:space="preserve">委办公室 </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lang w:val="en-US" w:eastAsia="zh-CN"/>
        </w:rPr>
        <w:t>政府办公室印发的《磴口县议事协调机构优化调整方案》</w:t>
      </w:r>
      <w:r>
        <w:rPr>
          <w:rFonts w:hint="eastAsia" w:ascii="仿宋_GB2312" w:hAnsi="仿宋_GB2312" w:eastAsia="仿宋_GB2312" w:cs="仿宋_GB2312"/>
          <w:color w:val="auto"/>
          <w:sz w:val="32"/>
          <w:szCs w:val="32"/>
          <w:lang w:eastAsia="zh-CN"/>
        </w:rPr>
        <w:t>，按程序研究制定印发</w:t>
      </w:r>
      <w:r>
        <w:rPr>
          <w:rFonts w:hint="eastAsia" w:ascii="仿宋_GB2312" w:hAnsi="仿宋_GB2312" w:eastAsia="仿宋_GB2312" w:cs="仿宋_GB2312"/>
          <w:color w:val="auto"/>
          <w:sz w:val="32"/>
          <w:szCs w:val="32"/>
          <w:lang w:val="en-US" w:eastAsia="zh-CN"/>
        </w:rPr>
        <w:t>《磴口县议事协调机构优化调整实施方案》</w:t>
      </w:r>
      <w:r>
        <w:rPr>
          <w:rFonts w:hint="eastAsia" w:ascii="仿宋_GB2312" w:hAnsi="仿宋_GB2312" w:eastAsia="仿宋_GB2312" w:cs="仿宋_GB2312"/>
          <w:color w:val="auto"/>
          <w:sz w:val="32"/>
          <w:szCs w:val="32"/>
          <w:lang w:eastAsia="zh-CN"/>
        </w:rPr>
        <w:t>，并组织开展全县</w:t>
      </w:r>
      <w:r>
        <w:rPr>
          <w:rFonts w:hint="eastAsia" w:ascii="仿宋_GB2312" w:hAnsi="仿宋_GB2312" w:eastAsia="仿宋_GB2312" w:cs="仿宋_GB2312"/>
          <w:color w:val="auto"/>
          <w:sz w:val="32"/>
          <w:szCs w:val="32"/>
          <w:lang w:val="en-US" w:eastAsia="zh-CN"/>
        </w:rPr>
        <w:t>议事协调机构优化调整工作。优化调整后，</w:t>
      </w:r>
      <w:r>
        <w:rPr>
          <w:rFonts w:hint="eastAsia" w:ascii="仿宋_GB2312" w:hAnsi="仿宋_GB2312" w:eastAsia="仿宋_GB2312" w:cs="仿宋_GB2312"/>
          <w:color w:val="auto"/>
          <w:sz w:val="32"/>
          <w:szCs w:val="32"/>
          <w:u w:val="none"/>
          <w:lang w:val="en-US" w:eastAsia="zh-CN"/>
        </w:rPr>
        <w:t>全县议事协调机构由138个（党委74个、政府64个）减为15个（党委14个、政府1个），不作为议事协调机构管理的机构10个。</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（六）不断加强机关自身建设</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lang w:val="en-US" w:eastAsia="zh-CN"/>
        </w:rPr>
        <w:t>持续深化政治理论学习。认真落实“第一议题”、集中学习等制度，</w:t>
      </w:r>
      <w:r>
        <w:rPr>
          <w:rFonts w:hint="eastAsia" w:ascii="仿宋_GB2312" w:hAnsi="仿宋_GB2312" w:eastAsia="仿宋_GB2312" w:cs="仿宋_GB2312"/>
          <w:color w:val="auto"/>
          <w:sz w:val="32"/>
          <w:szCs w:val="32"/>
          <w:lang w:eastAsia="zh-CN"/>
        </w:rPr>
        <w:t>成立了</w:t>
      </w:r>
      <w:r>
        <w:rPr>
          <w:rFonts w:hint="eastAsia" w:ascii="仿宋_GB2312" w:hAnsi="仿宋_GB2312" w:eastAsia="仿宋_GB2312" w:cs="仿宋_GB2312"/>
          <w:color w:val="auto"/>
          <w:sz w:val="32"/>
          <w:szCs w:val="32"/>
          <w:lang w:val="en-US" w:eastAsia="zh-CN"/>
        </w:rPr>
        <w:t>党纪学习教育工作领导小组</w:t>
      </w:r>
      <w:r>
        <w:rPr>
          <w:rFonts w:hint="eastAsia" w:ascii="仿宋_GB2312" w:hAnsi="仿宋_GB2312" w:eastAsia="仿宋_GB2312" w:cs="仿宋_GB2312"/>
          <w:color w:val="auto"/>
          <w:sz w:val="32"/>
          <w:szCs w:val="32"/>
          <w:lang w:eastAsia="zh-CN"/>
        </w:rPr>
        <w:t>，研究制定党纪学习教育工作方案、党支部理论学习计划，组织开展集中学习和业务培训</w:t>
      </w:r>
      <w:r>
        <w:rPr>
          <w:rFonts w:hint="eastAsia" w:ascii="仿宋_GB2312" w:hAnsi="仿宋_GB2312" w:eastAsia="仿宋_GB2312" w:cs="仿宋_GB2312"/>
          <w:color w:val="auto"/>
          <w:sz w:val="32"/>
          <w:szCs w:val="32"/>
          <w:u w:val="none"/>
          <w:lang w:val="en-US" w:eastAsia="zh-CN"/>
        </w:rPr>
        <w:t>42</w:t>
      </w:r>
      <w:r>
        <w:rPr>
          <w:rFonts w:hint="eastAsia" w:ascii="仿宋_GB2312" w:hAnsi="仿宋_GB2312" w:eastAsia="仿宋_GB2312" w:cs="仿宋_GB2312"/>
          <w:color w:val="auto"/>
          <w:sz w:val="32"/>
          <w:szCs w:val="32"/>
          <w:u w:val="none"/>
          <w:lang w:eastAsia="zh-CN"/>
        </w:rPr>
        <w:t>次，不断提升全体党员干部政治理论素养和业务工作水平</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bCs/>
          <w:color w:val="auto"/>
          <w:sz w:val="32"/>
          <w:szCs w:val="32"/>
          <w:u w:val="none"/>
          <w:lang w:val="en-US" w:eastAsia="zh-CN"/>
        </w:rPr>
        <w:t>二是</w:t>
      </w:r>
      <w:r>
        <w:rPr>
          <w:rFonts w:hint="eastAsia" w:ascii="仿宋_GB2312" w:hAnsi="仿宋_GB2312" w:eastAsia="仿宋_GB2312" w:cs="仿宋_GB2312"/>
          <w:b w:val="0"/>
          <w:bCs w:val="0"/>
          <w:color w:val="auto"/>
          <w:sz w:val="32"/>
          <w:szCs w:val="32"/>
          <w:u w:val="none"/>
        </w:rPr>
        <w:t>突出政治引领</w:t>
      </w:r>
      <w:r>
        <w:rPr>
          <w:rFonts w:hint="eastAsia" w:ascii="仿宋_GB2312" w:hAnsi="仿宋_GB2312" w:eastAsia="仿宋_GB2312" w:cs="仿宋_GB2312"/>
          <w:b w:val="0"/>
          <w:bCs w:val="0"/>
          <w:color w:val="auto"/>
          <w:sz w:val="32"/>
          <w:szCs w:val="32"/>
          <w:u w:val="none"/>
          <w:lang w:eastAsia="zh-CN"/>
        </w:rPr>
        <w:t>，加强组织建设。严格执行“三会一课”、组织生活会、主题党日、党费收缴等制度，召开支委会</w:t>
      </w:r>
      <w:r>
        <w:rPr>
          <w:rFonts w:hint="eastAsia" w:ascii="仿宋_GB2312" w:hAnsi="仿宋_GB2312" w:eastAsia="仿宋_GB2312" w:cs="仿宋_GB2312"/>
          <w:b w:val="0"/>
          <w:bCs w:val="0"/>
          <w:color w:val="auto"/>
          <w:sz w:val="32"/>
          <w:szCs w:val="32"/>
          <w:u w:val="none"/>
          <w:lang w:val="en-US" w:eastAsia="zh-CN"/>
        </w:rPr>
        <w:t>9</w:t>
      </w:r>
      <w:r>
        <w:rPr>
          <w:rFonts w:hint="eastAsia" w:ascii="仿宋_GB2312" w:hAnsi="仿宋_GB2312" w:eastAsia="仿宋_GB2312" w:cs="仿宋_GB2312"/>
          <w:b w:val="0"/>
          <w:bCs w:val="0"/>
          <w:color w:val="auto"/>
          <w:sz w:val="32"/>
          <w:szCs w:val="32"/>
          <w:u w:val="none"/>
          <w:lang w:eastAsia="zh-CN"/>
        </w:rPr>
        <w:t>次，党员大会</w:t>
      </w:r>
      <w:r>
        <w:rPr>
          <w:rFonts w:hint="eastAsia" w:ascii="仿宋_GB2312" w:hAnsi="仿宋_GB2312" w:eastAsia="仿宋_GB2312" w:cs="仿宋_GB2312"/>
          <w:b w:val="0"/>
          <w:bCs w:val="0"/>
          <w:color w:val="auto"/>
          <w:sz w:val="32"/>
          <w:szCs w:val="32"/>
          <w:u w:val="none"/>
          <w:lang w:val="en-US" w:eastAsia="zh-CN"/>
        </w:rPr>
        <w:t>7</w:t>
      </w:r>
      <w:r>
        <w:rPr>
          <w:rFonts w:hint="eastAsia" w:ascii="仿宋_GB2312" w:hAnsi="仿宋_GB2312" w:eastAsia="仿宋_GB2312" w:cs="仿宋_GB2312"/>
          <w:b w:val="0"/>
          <w:bCs w:val="0"/>
          <w:color w:val="auto"/>
          <w:sz w:val="32"/>
          <w:szCs w:val="32"/>
          <w:u w:val="none"/>
          <w:lang w:eastAsia="zh-CN"/>
        </w:rPr>
        <w:t>次，党支部书记讲党课</w:t>
      </w:r>
      <w:r>
        <w:rPr>
          <w:rFonts w:hint="eastAsia" w:ascii="仿宋_GB2312" w:hAnsi="仿宋_GB2312" w:eastAsia="仿宋_GB2312" w:cs="仿宋_GB2312"/>
          <w:b w:val="0"/>
          <w:bCs w:val="0"/>
          <w:color w:val="auto"/>
          <w:sz w:val="32"/>
          <w:szCs w:val="32"/>
          <w:u w:val="none"/>
          <w:lang w:val="en-US" w:eastAsia="zh-CN"/>
        </w:rPr>
        <w:t>2次，</w:t>
      </w:r>
      <w:r>
        <w:rPr>
          <w:rFonts w:hint="eastAsia" w:ascii="仿宋_GB2312" w:hAnsi="仿宋_GB2312" w:eastAsia="仿宋_GB2312" w:cs="仿宋_GB2312"/>
          <w:b w:val="0"/>
          <w:bCs w:val="0"/>
          <w:color w:val="auto"/>
          <w:sz w:val="32"/>
          <w:szCs w:val="32"/>
          <w:u w:val="none"/>
          <w:lang w:eastAsia="zh-CN"/>
        </w:rPr>
        <w:t>组织</w:t>
      </w:r>
      <w:r>
        <w:rPr>
          <w:rFonts w:hint="eastAsia" w:ascii="仿宋_GB2312" w:hAnsi="仿宋_GB2312" w:eastAsia="仿宋_GB2312" w:cs="仿宋_GB2312"/>
          <w:b w:val="0"/>
          <w:bCs w:val="0"/>
          <w:color w:val="auto"/>
          <w:sz w:val="32"/>
          <w:szCs w:val="32"/>
          <w:u w:val="none"/>
          <w:lang w:val="en-US" w:eastAsia="zh-CN"/>
        </w:rPr>
        <w:t>开展主题党日活动10次，开展走访慰问困难群众、老党员活动3次，开展志愿服务活动22次。</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val="0"/>
          <w:bCs w:val="0"/>
          <w:color w:val="auto"/>
          <w:sz w:val="32"/>
          <w:szCs w:val="32"/>
          <w:lang w:val="en-US" w:eastAsia="zh-CN"/>
        </w:rPr>
        <w:t>认真落实意识形态工作责任。进一步完善党建、意识形态阵地，不断夯实思想基础。为包联小区制作宣传栏</w:t>
      </w:r>
      <w:r>
        <w:rPr>
          <w:rFonts w:hint="eastAsia" w:ascii="仿宋_GB2312" w:hAnsi="仿宋_GB2312" w:eastAsia="仿宋_GB2312" w:cs="仿宋_GB2312"/>
          <w:b w:val="0"/>
          <w:bCs w:val="0"/>
          <w:color w:val="auto"/>
          <w:sz w:val="32"/>
          <w:szCs w:val="32"/>
          <w:u w:val="none"/>
          <w:lang w:val="en-US" w:eastAsia="zh-CN"/>
        </w:rPr>
        <w:t>2</w:t>
      </w:r>
      <w:r>
        <w:rPr>
          <w:rFonts w:hint="eastAsia" w:ascii="仿宋_GB2312" w:hAnsi="仿宋_GB2312" w:eastAsia="仿宋_GB2312" w:cs="仿宋_GB2312"/>
          <w:b w:val="0"/>
          <w:bCs w:val="0"/>
          <w:color w:val="auto"/>
          <w:sz w:val="32"/>
          <w:szCs w:val="32"/>
          <w:lang w:val="en-US" w:eastAsia="zh-CN"/>
        </w:rPr>
        <w:t>处，大力弘扬社会主义核心价值观。加强网络媒体平台管理，定期开展意识形态领域分析研判，牢牢把握意识形态工作主动权。加强信息宣传工作，截止目前，县委编办共向各级各类媒体上报信息稿件</w:t>
      </w:r>
      <w:r>
        <w:rPr>
          <w:rFonts w:hint="eastAsia" w:ascii="仿宋_GB2312" w:hAnsi="仿宋_GB2312" w:eastAsia="仿宋_GB2312" w:cs="仿宋_GB2312"/>
          <w:b w:val="0"/>
          <w:bCs w:val="0"/>
          <w:color w:val="auto"/>
          <w:sz w:val="32"/>
          <w:szCs w:val="32"/>
          <w:u w:val="none"/>
          <w:lang w:val="en-US" w:eastAsia="zh-CN"/>
        </w:rPr>
        <w:t>59篇，市级媒体采用48篇、自治区级媒体采用8篇</w:t>
      </w: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bCs w:val="0"/>
          <w:color w:val="auto"/>
          <w:sz w:val="32"/>
          <w:szCs w:val="32"/>
          <w:lang w:val="en-US" w:eastAsia="zh-CN"/>
        </w:rPr>
        <w:t>四是</w:t>
      </w:r>
      <w:r>
        <w:rPr>
          <w:rFonts w:hint="eastAsia" w:ascii="仿宋_GB2312" w:hAnsi="仿宋_GB2312" w:eastAsia="仿宋_GB2312" w:cs="仿宋_GB2312"/>
          <w:b w:val="0"/>
          <w:bCs/>
          <w:color w:val="auto"/>
          <w:sz w:val="32"/>
          <w:szCs w:val="32"/>
          <w:lang w:val="en-US" w:eastAsia="zh-CN"/>
        </w:rPr>
        <w:t>压紧压实“一岗双责”主体责任。坚持把党风廉政建设与机关党建、业务工作同谋划、同部署、同推进，</w:t>
      </w:r>
      <w:r>
        <w:rPr>
          <w:rFonts w:hint="eastAsia" w:ascii="仿宋_GB2312" w:hAnsi="仿宋_GB2312" w:eastAsia="仿宋_GB2312" w:cs="仿宋_GB2312"/>
          <w:color w:val="auto"/>
          <w:sz w:val="32"/>
          <w:szCs w:val="32"/>
          <w:lang w:eastAsia="zh-CN"/>
        </w:rPr>
        <w:t>严格执行民主集中制、“三重一大”决策制度</w:t>
      </w:r>
      <w:r>
        <w:rPr>
          <w:rFonts w:hint="eastAsia" w:ascii="仿宋_GB2312" w:hAnsi="仿宋_GB2312" w:eastAsia="仿宋_GB2312" w:cs="仿宋_GB2312"/>
          <w:b w:val="0"/>
          <w:bCs/>
          <w:i w:val="0"/>
          <w:iCs w:val="0"/>
          <w:caps w:val="0"/>
          <w:color w:val="auto"/>
          <w:spacing w:val="0"/>
          <w:kern w:val="0"/>
          <w:sz w:val="32"/>
          <w:szCs w:val="32"/>
          <w:shd w:val="clear" w:fill="FFFFFF"/>
          <w:lang w:val="en-US" w:eastAsia="zh-CN" w:bidi="ar"/>
        </w:rPr>
        <w:t>，</w:t>
      </w:r>
      <w:r>
        <w:rPr>
          <w:rFonts w:hint="eastAsia" w:ascii="仿宋_GB2312" w:hAnsi="仿宋_GB2312" w:eastAsia="仿宋_GB2312" w:cs="仿宋_GB2312"/>
          <w:color w:val="auto"/>
          <w:sz w:val="32"/>
          <w:szCs w:val="32"/>
          <w:lang w:eastAsia="zh-CN"/>
        </w:rPr>
        <w:t>充分发扬民主，坚持集体讨论作出决策</w:t>
      </w:r>
      <w:r>
        <w:rPr>
          <w:rFonts w:hint="eastAsia" w:ascii="仿宋_GB2312" w:hAnsi="仿宋_GB2312" w:eastAsia="仿宋_GB2312" w:cs="仿宋_GB2312"/>
          <w:i w:val="0"/>
          <w:caps w:val="0"/>
          <w:color w:val="auto"/>
          <w:spacing w:val="9"/>
          <w:sz w:val="32"/>
          <w:szCs w:val="32"/>
          <w:shd w:val="clear" w:fill="FFFFFF"/>
          <w:lang w:val="en-US" w:eastAsia="zh-CN"/>
        </w:rPr>
        <w:t>。结合春节、国庆等重要时间节点，</w:t>
      </w:r>
      <w:r>
        <w:rPr>
          <w:rFonts w:hint="eastAsia" w:ascii="仿宋_GB2312" w:hAnsi="仿宋_GB2312" w:eastAsia="仿宋_GB2312" w:cs="仿宋_GB2312"/>
          <w:b w:val="0"/>
          <w:bCs/>
          <w:i w:val="0"/>
          <w:iCs w:val="0"/>
          <w:caps w:val="0"/>
          <w:color w:val="auto"/>
          <w:spacing w:val="0"/>
          <w:kern w:val="0"/>
          <w:sz w:val="32"/>
          <w:szCs w:val="32"/>
          <w:shd w:val="clear" w:fill="FFFFFF"/>
          <w:lang w:val="en-US" w:eastAsia="zh-CN" w:bidi="ar"/>
        </w:rPr>
        <w:t>开展</w:t>
      </w:r>
      <w:r>
        <w:rPr>
          <w:rFonts w:hint="eastAsia" w:ascii="仿宋_GB2312" w:hAnsi="仿宋_GB2312" w:eastAsia="仿宋_GB2312" w:cs="仿宋_GB2312"/>
          <w:b w:val="0"/>
          <w:bCs/>
          <w:color w:val="auto"/>
          <w:kern w:val="36"/>
          <w:sz w:val="32"/>
          <w:szCs w:val="32"/>
          <w:lang w:eastAsia="zh-CN"/>
        </w:rPr>
        <w:t>节假日纠“四风”、树新风自查自纠</w:t>
      </w:r>
      <w:r>
        <w:rPr>
          <w:rFonts w:hint="eastAsia" w:ascii="仿宋_GB2312" w:hAnsi="仿宋_GB2312" w:eastAsia="仿宋_GB2312" w:cs="仿宋_GB2312"/>
          <w:b w:val="0"/>
          <w:bCs/>
          <w:color w:val="auto"/>
          <w:kern w:val="36"/>
          <w:sz w:val="32"/>
          <w:szCs w:val="32"/>
          <w:u w:val="none"/>
          <w:lang w:val="en-US" w:eastAsia="zh-CN"/>
        </w:rPr>
        <w:t>6</w:t>
      </w:r>
      <w:r>
        <w:rPr>
          <w:rFonts w:hint="eastAsia" w:ascii="仿宋_GB2312" w:hAnsi="仿宋_GB2312" w:eastAsia="仿宋_GB2312" w:cs="仿宋_GB2312"/>
          <w:b w:val="0"/>
          <w:bCs/>
          <w:color w:val="auto"/>
          <w:kern w:val="36"/>
          <w:sz w:val="32"/>
          <w:szCs w:val="32"/>
          <w:lang w:val="en-US" w:eastAsia="zh-CN"/>
        </w:rPr>
        <w:t>次，</w:t>
      </w:r>
      <w:r>
        <w:rPr>
          <w:rFonts w:hint="eastAsia" w:ascii="仿宋_GB2312" w:hAnsi="仿宋_GB2312" w:eastAsia="仿宋_GB2312" w:cs="仿宋_GB2312"/>
          <w:i w:val="0"/>
          <w:caps w:val="0"/>
          <w:color w:val="auto"/>
          <w:spacing w:val="9"/>
          <w:sz w:val="32"/>
          <w:szCs w:val="32"/>
          <w:shd w:val="clear" w:fill="FFFFFF"/>
          <w:lang w:eastAsia="zh-CN"/>
        </w:rPr>
        <w:t>开展警示教育</w:t>
      </w:r>
      <w:r>
        <w:rPr>
          <w:rFonts w:hint="eastAsia" w:ascii="仿宋_GB2312" w:hAnsi="仿宋_GB2312" w:eastAsia="仿宋_GB2312" w:cs="仿宋_GB2312"/>
          <w:i w:val="0"/>
          <w:caps w:val="0"/>
          <w:color w:val="auto"/>
          <w:spacing w:val="9"/>
          <w:sz w:val="32"/>
          <w:szCs w:val="32"/>
          <w:u w:val="none"/>
          <w:shd w:val="clear" w:fill="FFFFFF"/>
          <w:lang w:val="en-US" w:eastAsia="zh-CN"/>
        </w:rPr>
        <w:t>4</w:t>
      </w:r>
      <w:r>
        <w:rPr>
          <w:rFonts w:hint="eastAsia" w:ascii="仿宋_GB2312" w:hAnsi="仿宋_GB2312" w:eastAsia="仿宋_GB2312" w:cs="仿宋_GB2312"/>
          <w:i w:val="0"/>
          <w:caps w:val="0"/>
          <w:color w:val="auto"/>
          <w:spacing w:val="9"/>
          <w:sz w:val="32"/>
          <w:szCs w:val="32"/>
          <w:shd w:val="clear" w:fill="FFFFFF"/>
          <w:lang w:val="en-US" w:eastAsia="zh-CN"/>
        </w:rPr>
        <w:t>次</w:t>
      </w:r>
      <w:r>
        <w:rPr>
          <w:rFonts w:hint="eastAsia" w:ascii="仿宋_GB2312" w:hAnsi="仿宋_GB2312" w:eastAsia="仿宋_GB2312" w:cs="仿宋_GB2312"/>
          <w:b w:val="0"/>
          <w:bCs/>
          <w:color w:val="auto"/>
          <w:kern w:val="36"/>
          <w:sz w:val="32"/>
          <w:szCs w:val="32"/>
          <w:lang w:val="en-US" w:eastAsia="zh-CN"/>
        </w:rPr>
        <w:t>，开展违规吃喝、</w:t>
      </w:r>
      <w:r>
        <w:rPr>
          <w:rFonts w:hint="eastAsia" w:ascii="仿宋_GB2312" w:hAnsi="仿宋_GB2312" w:eastAsia="仿宋_GB2312" w:cs="仿宋_GB2312"/>
          <w:color w:val="auto"/>
          <w:sz w:val="32"/>
          <w:szCs w:val="32"/>
          <w:lang w:eastAsia="zh-CN"/>
        </w:rPr>
        <w:t>不按规定公务接待</w:t>
      </w:r>
      <w:r>
        <w:rPr>
          <w:rFonts w:hint="eastAsia" w:ascii="仿宋_GB2312" w:hAnsi="仿宋_GB2312" w:eastAsia="仿宋_GB2312" w:cs="仿宋_GB2312"/>
          <w:b w:val="0"/>
          <w:bCs/>
          <w:color w:val="auto"/>
          <w:kern w:val="36"/>
          <w:sz w:val="32"/>
          <w:szCs w:val="32"/>
          <w:lang w:val="en-US" w:eastAsia="zh-CN"/>
        </w:rPr>
        <w:t>自查自纠</w:t>
      </w:r>
      <w:r>
        <w:rPr>
          <w:rFonts w:hint="eastAsia" w:ascii="仿宋_GB2312" w:hAnsi="仿宋_GB2312" w:eastAsia="仿宋_GB2312" w:cs="仿宋_GB2312"/>
          <w:b w:val="0"/>
          <w:bCs/>
          <w:color w:val="auto"/>
          <w:kern w:val="36"/>
          <w:sz w:val="32"/>
          <w:szCs w:val="32"/>
          <w:u w:val="none"/>
          <w:lang w:val="en-US" w:eastAsia="zh-CN"/>
        </w:rPr>
        <w:t>1</w:t>
      </w:r>
      <w:r>
        <w:rPr>
          <w:rFonts w:hint="eastAsia" w:ascii="仿宋_GB2312" w:hAnsi="仿宋_GB2312" w:eastAsia="仿宋_GB2312" w:cs="仿宋_GB2312"/>
          <w:b w:val="0"/>
          <w:bCs/>
          <w:color w:val="auto"/>
          <w:kern w:val="36"/>
          <w:sz w:val="32"/>
          <w:szCs w:val="32"/>
          <w:lang w:val="en-US" w:eastAsia="zh-CN"/>
        </w:rPr>
        <w:t>次</w:t>
      </w:r>
      <w:r>
        <w:rPr>
          <w:rFonts w:hint="eastAsia" w:ascii="仿宋_GB2312" w:hAnsi="仿宋_GB2312" w:eastAsia="仿宋_GB2312" w:cs="仿宋_GB2312"/>
          <w:b w:val="0"/>
          <w:bCs/>
          <w:i w:val="0"/>
          <w:iCs w:val="0"/>
          <w:caps w:val="0"/>
          <w:color w:val="auto"/>
          <w:spacing w:val="0"/>
          <w:kern w:val="0"/>
          <w:sz w:val="32"/>
          <w:szCs w:val="32"/>
          <w:shd w:val="clear" w:fill="FFFFFF"/>
          <w:lang w:val="en-US" w:eastAsia="zh-CN" w:bidi="ar"/>
        </w:rPr>
        <w:t>。</w:t>
      </w:r>
      <w:r>
        <w:rPr>
          <w:rFonts w:hint="eastAsia" w:ascii="仿宋_GB2312" w:hAnsi="仿宋_GB2312" w:eastAsia="仿宋_GB2312" w:cs="仿宋_GB2312"/>
          <w:color w:val="auto"/>
          <w:sz w:val="32"/>
          <w:szCs w:val="32"/>
          <w:lang w:eastAsia="zh-CN"/>
        </w:rPr>
        <w:t>积极配合牵头部门完成自治区党委巡视反馈意见整改。</w:t>
      </w:r>
      <w:r>
        <w:rPr>
          <w:rFonts w:hint="eastAsia" w:ascii="仿宋_GB2312" w:hAnsi="仿宋_GB2312" w:eastAsia="仿宋_GB2312" w:cs="仿宋_GB2312"/>
          <w:b/>
          <w:bCs/>
          <w:color w:val="auto"/>
          <w:sz w:val="32"/>
          <w:szCs w:val="32"/>
          <w:lang w:eastAsia="zh-CN"/>
        </w:rPr>
        <w:t>五是</w:t>
      </w:r>
      <w:r>
        <w:rPr>
          <w:rFonts w:hint="eastAsia" w:ascii="仿宋_GB2312" w:hAnsi="仿宋_GB2312" w:eastAsia="仿宋_GB2312" w:cs="仿宋_GB2312"/>
          <w:b w:val="0"/>
          <w:bCs w:val="0"/>
          <w:color w:val="auto"/>
          <w:sz w:val="32"/>
          <w:szCs w:val="32"/>
          <w:lang w:eastAsia="zh-CN"/>
        </w:rPr>
        <w:t>坚持把</w:t>
      </w:r>
      <w:r>
        <w:rPr>
          <w:rFonts w:hint="eastAsia" w:ascii="仿宋_GB2312" w:hAnsi="仿宋_GB2312" w:eastAsia="仿宋_GB2312" w:cs="仿宋_GB2312"/>
          <w:b w:val="0"/>
          <w:bCs w:val="0"/>
          <w:color w:val="auto"/>
          <w:sz w:val="32"/>
          <w:szCs w:val="32"/>
          <w:lang w:val="en-US" w:eastAsia="zh-CN"/>
        </w:rPr>
        <w:t>铸牢中华民族共同体意识主线</w:t>
      </w:r>
      <w:r>
        <w:rPr>
          <w:rFonts w:hint="eastAsia" w:ascii="仿宋_GB2312" w:hAnsi="仿宋_GB2312" w:eastAsia="仿宋_GB2312" w:cs="仿宋_GB2312"/>
          <w:b w:val="0"/>
          <w:bCs w:val="0"/>
          <w:i w:val="0"/>
          <w:caps w:val="0"/>
          <w:color w:val="auto"/>
          <w:spacing w:val="0"/>
          <w:sz w:val="32"/>
          <w:szCs w:val="32"/>
          <w:shd w:val="clear" w:fill="FFFFFF"/>
        </w:rPr>
        <w:t>贯穿机构编制工作全过程</w:t>
      </w:r>
      <w:r>
        <w:rPr>
          <w:rFonts w:hint="eastAsia" w:ascii="仿宋_GB2312" w:hAnsi="仿宋_GB2312" w:eastAsia="仿宋_GB2312" w:cs="仿宋_GB2312"/>
          <w:b w:val="0"/>
          <w:bCs w:val="0"/>
          <w:i w:val="0"/>
          <w:caps w:val="0"/>
          <w:color w:val="auto"/>
          <w:spacing w:val="0"/>
          <w:sz w:val="32"/>
          <w:szCs w:val="32"/>
          <w:shd w:val="clear" w:fill="FFFFFF"/>
          <w:lang w:eastAsia="zh-CN"/>
        </w:rPr>
        <w:t>各方面</w:t>
      </w:r>
      <w:r>
        <w:rPr>
          <w:rFonts w:hint="eastAsia" w:ascii="仿宋_GB2312" w:hAnsi="仿宋_GB2312" w:eastAsia="仿宋_GB2312" w:cs="仿宋_GB2312"/>
          <w:b w:val="0"/>
          <w:bCs w:val="0"/>
          <w:color w:val="auto"/>
          <w:sz w:val="32"/>
          <w:szCs w:val="32"/>
          <w:lang w:val="en-US" w:eastAsia="zh-CN"/>
        </w:rPr>
        <w:t>。建立民族政策理论常态化学习机制，扎实开展</w:t>
      </w:r>
      <w:r>
        <w:rPr>
          <w:rFonts w:hint="eastAsia" w:ascii="仿宋_GB2312" w:hAnsi="仿宋_GB2312" w:eastAsia="仿宋_GB2312" w:cs="仿宋_GB2312"/>
          <w:i w:val="0"/>
          <w:caps w:val="0"/>
          <w:color w:val="auto"/>
          <w:spacing w:val="0"/>
          <w:sz w:val="32"/>
          <w:szCs w:val="32"/>
          <w:shd w:val="clear" w:fill="FFFFFF"/>
        </w:rPr>
        <w:t>“民族政策宣传月”“民族法治宣传周”“民族团结进步活动月”</w:t>
      </w:r>
      <w:r>
        <w:rPr>
          <w:rFonts w:hint="eastAsia" w:ascii="仿宋_GB2312" w:hAnsi="仿宋_GB2312" w:eastAsia="仿宋_GB2312" w:cs="仿宋_GB2312"/>
          <w:i w:val="0"/>
          <w:caps w:val="0"/>
          <w:color w:val="auto"/>
          <w:spacing w:val="0"/>
          <w:sz w:val="32"/>
          <w:szCs w:val="32"/>
          <w:shd w:val="clear" w:fill="FFFFFF"/>
          <w:lang w:eastAsia="zh-CN"/>
        </w:rPr>
        <w:t>，深入学习、广泛</w:t>
      </w:r>
      <w:r>
        <w:rPr>
          <w:rFonts w:hint="eastAsia" w:ascii="仿宋_GB2312" w:hAnsi="仿宋_GB2312" w:eastAsia="仿宋_GB2312" w:cs="仿宋_GB2312"/>
          <w:i w:val="0"/>
          <w:caps w:val="0"/>
          <w:color w:val="auto"/>
          <w:spacing w:val="0"/>
          <w:sz w:val="32"/>
          <w:szCs w:val="32"/>
          <w:shd w:val="clear" w:fill="FFFFFF"/>
        </w:rPr>
        <w:t>宣传党的民族政策</w:t>
      </w:r>
      <w:r>
        <w:rPr>
          <w:rFonts w:hint="eastAsia" w:ascii="仿宋_GB2312" w:hAnsi="仿宋_GB2312" w:eastAsia="仿宋_GB2312" w:cs="仿宋_GB2312"/>
          <w:i w:val="0"/>
          <w:caps w:val="0"/>
          <w:color w:val="auto"/>
          <w:spacing w:val="0"/>
          <w:sz w:val="32"/>
          <w:szCs w:val="32"/>
          <w:shd w:val="clear" w:fill="FFFFFF"/>
          <w:lang w:eastAsia="zh-CN"/>
        </w:rPr>
        <w:t>和相关</w:t>
      </w:r>
      <w:r>
        <w:rPr>
          <w:rFonts w:hint="eastAsia" w:ascii="仿宋_GB2312" w:hAnsi="仿宋_GB2312" w:eastAsia="仿宋_GB2312" w:cs="仿宋_GB2312"/>
          <w:i w:val="0"/>
          <w:caps w:val="0"/>
          <w:color w:val="auto"/>
          <w:spacing w:val="0"/>
          <w:sz w:val="32"/>
          <w:szCs w:val="32"/>
          <w:shd w:val="clear" w:fill="FFFFFF"/>
        </w:rPr>
        <w:t>法律法规，教育引导党员干部深刻领悟做好新时代民族工作的重要意义，促进</w:t>
      </w:r>
      <w:r>
        <w:rPr>
          <w:rFonts w:hint="eastAsia" w:ascii="仿宋_GB2312" w:hAnsi="仿宋_GB2312" w:eastAsia="仿宋_GB2312" w:cs="仿宋_GB2312"/>
          <w:i w:val="0"/>
          <w:caps w:val="0"/>
          <w:color w:val="auto"/>
          <w:spacing w:val="0"/>
          <w:sz w:val="32"/>
          <w:szCs w:val="32"/>
          <w:shd w:val="clear" w:fill="FFFFFF"/>
          <w:lang w:eastAsia="zh-CN"/>
        </w:rPr>
        <w:t>县委编办</w:t>
      </w:r>
      <w:r>
        <w:rPr>
          <w:rFonts w:hint="eastAsia" w:ascii="仿宋_GB2312" w:hAnsi="仿宋_GB2312" w:eastAsia="仿宋_GB2312" w:cs="仿宋_GB2312"/>
          <w:i w:val="0"/>
          <w:caps w:val="0"/>
          <w:color w:val="auto"/>
          <w:spacing w:val="0"/>
          <w:sz w:val="32"/>
          <w:szCs w:val="32"/>
          <w:shd w:val="clear" w:fill="FFFFFF"/>
        </w:rPr>
        <w:t>各族</w:t>
      </w:r>
      <w:r>
        <w:rPr>
          <w:rFonts w:hint="eastAsia" w:ascii="仿宋_GB2312" w:hAnsi="仿宋_GB2312" w:eastAsia="仿宋_GB2312" w:cs="仿宋_GB2312"/>
          <w:i w:val="0"/>
          <w:caps w:val="0"/>
          <w:color w:val="auto"/>
          <w:spacing w:val="0"/>
          <w:sz w:val="32"/>
          <w:szCs w:val="32"/>
          <w:shd w:val="clear" w:fill="FFFFFF"/>
          <w:lang w:eastAsia="zh-CN"/>
        </w:rPr>
        <w:t>干部</w:t>
      </w:r>
      <w:r>
        <w:rPr>
          <w:rFonts w:hint="eastAsia" w:ascii="仿宋_GB2312" w:hAnsi="仿宋_GB2312" w:eastAsia="仿宋_GB2312" w:cs="仿宋_GB2312"/>
          <w:i w:val="0"/>
          <w:caps w:val="0"/>
          <w:color w:val="auto"/>
          <w:spacing w:val="0"/>
          <w:sz w:val="32"/>
          <w:szCs w:val="32"/>
          <w:shd w:val="clear" w:fill="FFFFFF"/>
        </w:rPr>
        <w:t>群众像石榴籽一样紧紧抱在一起，为磴口经济社会高质量发展贡献力量</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b/>
          <w:bCs w:val="0"/>
          <w:color w:val="auto"/>
          <w:sz w:val="32"/>
          <w:szCs w:val="32"/>
          <w:lang w:eastAsia="zh-CN"/>
        </w:rPr>
        <w:t>六是</w:t>
      </w:r>
      <w:r>
        <w:rPr>
          <w:rFonts w:hint="eastAsia" w:ascii="仿宋_GB2312" w:hAnsi="仿宋_GB2312" w:eastAsia="仿宋_GB2312" w:cs="仿宋_GB2312"/>
          <w:b w:val="0"/>
          <w:bCs/>
          <w:color w:val="auto"/>
          <w:sz w:val="32"/>
          <w:szCs w:val="32"/>
          <w:lang w:eastAsia="zh-CN"/>
        </w:rPr>
        <w:t>认真做好保密、综治、信访维稳、普法、群团、人大代表和政协委员提案、</w:t>
      </w:r>
      <w:r>
        <w:rPr>
          <w:rFonts w:hint="eastAsia" w:ascii="仿宋_GB2312" w:hAnsi="仿宋_GB2312" w:eastAsia="仿宋_GB2312" w:cs="仿宋_GB2312"/>
          <w:b w:val="0"/>
          <w:bCs/>
          <w:color w:val="auto"/>
          <w:sz w:val="32"/>
          <w:szCs w:val="32"/>
          <w:lang w:val="en-US" w:eastAsia="zh-CN"/>
        </w:rPr>
        <w:t>12345政务服务热线转办工单等工作。</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ascii="Times New Roman" w:hAnsi="Times New Roman" w:eastAsia="Times New Roman" w:cs="Times New Roman"/>
          <w:kern w:val="0"/>
          <w:sz w:val="24"/>
        </w:rPr>
      </w:pPr>
      <w:r>
        <w:rPr>
          <w:rFonts w:hint="eastAsia" w:ascii="仿宋_GB2312" w:hAnsi="仿宋_GB2312" w:eastAsia="仿宋_GB2312" w:cs="仿宋_GB2312"/>
          <w:color w:val="auto"/>
          <w:sz w:val="32"/>
          <w:szCs w:val="32"/>
          <w:lang w:val="en-US" w:eastAsia="zh-CN"/>
        </w:rPr>
        <w:t>2024年，县委编办被县委、县政府评为“全县民族团结进步模范集体”。</w:t>
      </w:r>
    </w:p>
    <w:p>
      <w:pPr>
        <w:keepNext w:val="0"/>
        <w:keepLines w:val="0"/>
        <w:pageBreakBefore w:val="0"/>
        <w:wordWrap/>
        <w:overflowPunct/>
        <w:topLinePunct w:val="0"/>
        <w:bidi w:val="0"/>
        <w:spacing w:line="360" w:lineRule="auto"/>
        <w:rPr>
          <w:rFonts w:ascii="fang_zheng_xiao_biao_song_ti" w:hAnsi="fang_zheng_xiao_biao_song_ti" w:eastAsia="fang_zheng_xiao_biao_song_ti" w:cs="fang_zheng_xiao_biao_song_ti"/>
          <w:kern w:val="0"/>
          <w:sz w:val="36"/>
          <w:szCs w:val="36"/>
        </w:rPr>
      </w:pPr>
      <w:r>
        <w:rPr>
          <w:rFonts w:ascii="fang_zheng_xiao_biao_song_ti" w:hAnsi="fang_zheng_xiao_biao_song_ti" w:eastAsia="fang_zheng_xiao_biao_song_ti" w:cs="fang_zheng_xiao_biao_song_ti"/>
          <w:kern w:val="0"/>
          <w:sz w:val="36"/>
          <w:szCs w:val="36"/>
        </w:rPr>
        <w:br w:type="page"/>
      </w:r>
    </w:p>
    <w:p>
      <w:pPr>
        <w:pStyle w:val="5"/>
        <w:keepNext w:val="0"/>
        <w:keepLines w:val="0"/>
        <w:pageBreakBefore w:val="0"/>
        <w:widowControl/>
        <w:wordWrap/>
        <w:overflowPunct/>
        <w:topLinePunct w:val="0"/>
        <w:bidi w:val="0"/>
        <w:spacing w:before="0" w:after="0" w:line="360" w:lineRule="auto"/>
        <w:jc w:val="center"/>
        <w:rPr>
          <w:rFonts w:ascii="Times New Roman" w:hAnsi="Times New Roman" w:eastAsia="Times New Roman" w:cs="Times New Roman"/>
          <w:b/>
          <w:bCs/>
          <w:kern w:val="0"/>
          <w:sz w:val="36"/>
          <w:szCs w:val="36"/>
        </w:rPr>
      </w:pPr>
      <w:r>
        <w:rPr>
          <w:rFonts w:hint="eastAsia" w:ascii="方正小标宋简体" w:hAnsi="方正小标宋简体" w:eastAsia="方正小标宋简体" w:cs="Times New Roman"/>
          <w:b w:val="0"/>
          <w:bCs w:val="0"/>
          <w:color w:val="auto"/>
          <w:kern w:val="2"/>
          <w:sz w:val="36"/>
          <w:szCs w:val="22"/>
          <w:lang w:val="en-US" w:eastAsia="zh-CN" w:bidi="ar-SA"/>
        </w:rPr>
        <w:t>第二部分 部门决算情况说明</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ascii="Times New Roman" w:hAnsi="Times New Roman" w:eastAsia="Times New Roman" w:cs="Times New Roman"/>
          <w:kern w:val="0"/>
          <w:sz w:val="24"/>
        </w:rPr>
      </w:pPr>
      <w:r>
        <w:rPr>
          <w:rFonts w:hint="eastAsia" w:ascii="黑体" w:hAnsi="黑体" w:eastAsia="黑体" w:cs="Times New Roman"/>
          <w:b/>
          <w:color w:val="auto"/>
          <w:kern w:val="2"/>
          <w:sz w:val="32"/>
          <w:szCs w:val="32"/>
          <w:lang w:val="en-US" w:eastAsia="zh-CN"/>
        </w:rPr>
        <w:t>一、收入支出决算总体情况说明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kern w:val="0"/>
          <w:sz w:val="32"/>
          <w:szCs w:val="32"/>
          <w:u w:val="none" w:color="auto"/>
        </w:rPr>
      </w:pPr>
      <w:r>
        <w:rPr>
          <w:rFonts w:hint="eastAsia" w:ascii="仿宋" w:hAnsi="仿宋" w:eastAsia="仿宋" w:cs="仿宋"/>
          <w:color w:val="000000"/>
          <w:kern w:val="0"/>
          <w:sz w:val="32"/>
          <w:szCs w:val="32"/>
          <w:u w:val="none" w:color="auto"/>
        </w:rPr>
        <w:t>中共磴口县委员会机构编制委员会办公室</w:t>
      </w:r>
      <w:r>
        <w:rPr>
          <w:rFonts w:hint="eastAsia" w:ascii="仿宋" w:hAnsi="仿宋" w:eastAsia="仿宋" w:cs="仿宋"/>
          <w:color w:val="auto"/>
          <w:kern w:val="2"/>
          <w:sz w:val="32"/>
          <w:szCs w:val="32"/>
          <w:u w:val="none" w:color="auto"/>
        </w:rPr>
        <w:t>（部门）</w:t>
      </w:r>
      <w:r>
        <w:rPr>
          <w:rFonts w:hint="eastAsia" w:ascii="仿宋" w:hAnsi="仿宋" w:eastAsia="仿宋" w:cs="仿宋"/>
          <w:color w:val="000000"/>
          <w:kern w:val="0"/>
          <w:sz w:val="32"/>
          <w:szCs w:val="32"/>
          <w:u w:val="none" w:color="auto"/>
        </w:rPr>
        <w:t>2024年度收入、支出决算总计均为287.83万元。与年初预算相比，收、支总计各增加72.1</w:t>
      </w:r>
      <w:r>
        <w:rPr>
          <w:rFonts w:hint="eastAsia" w:ascii="仿宋" w:hAnsi="仿宋" w:eastAsia="仿宋" w:cs="仿宋"/>
          <w:color w:val="000000"/>
          <w:kern w:val="0"/>
          <w:sz w:val="32"/>
          <w:szCs w:val="32"/>
          <w:u w:val="none" w:color="auto"/>
          <w:lang w:val="en-US" w:eastAsia="zh-CN"/>
        </w:rPr>
        <w:t>4</w:t>
      </w:r>
      <w:bookmarkStart w:id="5" w:name="_GoBack"/>
      <w:bookmarkEnd w:id="5"/>
      <w:r>
        <w:rPr>
          <w:rFonts w:hint="eastAsia" w:ascii="仿宋" w:hAnsi="仿宋" w:eastAsia="仿宋" w:cs="仿宋"/>
          <w:color w:val="000000"/>
          <w:kern w:val="0"/>
          <w:sz w:val="32"/>
          <w:szCs w:val="32"/>
          <w:u w:val="none" w:color="auto"/>
        </w:rPr>
        <w:t>万元，增长33.45%，变动原因：</w:t>
      </w:r>
      <w:r>
        <w:rPr>
          <w:rFonts w:hint="eastAsia" w:ascii="仿宋" w:hAnsi="仿宋" w:eastAsia="仿宋" w:cs="仿宋"/>
          <w:color w:val="auto"/>
          <w:kern w:val="2"/>
          <w:sz w:val="32"/>
          <w:szCs w:val="32"/>
          <w:u w:val="none" w:color="auto"/>
          <w:lang w:val="en-US" w:eastAsia="zh-CN"/>
        </w:rPr>
        <w:t>2024年人员变动、工资调整及项目经费增加导致收入增加</w:t>
      </w:r>
      <w:r>
        <w:rPr>
          <w:rFonts w:hint="eastAsia" w:ascii="仿宋" w:hAnsi="仿宋" w:eastAsia="仿宋" w:cs="仿宋"/>
          <w:color w:val="000000"/>
          <w:kern w:val="0"/>
          <w:sz w:val="32"/>
          <w:szCs w:val="32"/>
          <w:u w:val="none" w:color="auto"/>
        </w:rPr>
        <w:t>；与上年决算相比，收、支总计各增加64.34万元，增长 28.79%。其中：</w:t>
      </w:r>
    </w:p>
    <w:p>
      <w:pPr>
        <w:keepNext w:val="0"/>
        <w:keepLines w:val="0"/>
        <w:pageBreakBefore w:val="0"/>
        <w:numPr>
          <w:ilvl w:val="0"/>
          <w:numId w:val="0"/>
        </w:numPr>
        <w:kinsoku/>
        <w:wordWrap/>
        <w:overflowPunct/>
        <w:topLinePunct w:val="0"/>
        <w:autoSpaceDE w:val="0"/>
        <w:autoSpaceDN w:val="0"/>
        <w:bidi w:val="0"/>
        <w:adjustRightInd w:val="0"/>
        <w:snapToGrid/>
        <w:spacing w:line="360" w:lineRule="auto"/>
        <w:ind w:left="645" w:leftChars="0"/>
        <w:jc w:val="both"/>
        <w:textAlignment w:val="auto"/>
        <w:rPr>
          <w:rFonts w:hint="eastAsia" w:ascii="楷体" w:hAnsi="楷体" w:eastAsia="楷体" w:cs="楷体"/>
          <w:b/>
          <w:bCs/>
          <w:color w:val="000000"/>
          <w:kern w:val="0"/>
          <w:sz w:val="32"/>
          <w:szCs w:val="32"/>
          <w:u w:val="none" w:color="auto"/>
        </w:rPr>
      </w:pPr>
      <w:r>
        <w:rPr>
          <w:rFonts w:hint="eastAsia" w:ascii="楷体" w:hAnsi="楷体" w:eastAsia="楷体" w:cs="楷体"/>
          <w:b/>
          <w:bCs/>
          <w:color w:val="000000"/>
          <w:kern w:val="0"/>
          <w:sz w:val="32"/>
          <w:szCs w:val="32"/>
          <w:u w:val="none" w:color="auto"/>
          <w:lang w:eastAsia="zh-CN"/>
        </w:rPr>
        <w:t>（</w:t>
      </w:r>
      <w:r>
        <w:rPr>
          <w:rFonts w:hint="eastAsia" w:ascii="楷体" w:hAnsi="楷体" w:eastAsia="楷体" w:cs="楷体"/>
          <w:b/>
          <w:bCs/>
          <w:color w:val="000000"/>
          <w:kern w:val="0"/>
          <w:sz w:val="32"/>
          <w:szCs w:val="32"/>
          <w:u w:val="none" w:color="auto"/>
          <w:lang w:val="en-US" w:eastAsia="zh-CN"/>
        </w:rPr>
        <w:t>一</w:t>
      </w:r>
      <w:r>
        <w:rPr>
          <w:rFonts w:hint="eastAsia" w:ascii="楷体" w:hAnsi="楷体" w:eastAsia="楷体" w:cs="楷体"/>
          <w:b/>
          <w:bCs/>
          <w:color w:val="000000"/>
          <w:kern w:val="0"/>
          <w:sz w:val="32"/>
          <w:szCs w:val="32"/>
          <w:u w:val="none" w:color="auto"/>
          <w:lang w:eastAsia="zh-CN"/>
        </w:rPr>
        <w:t>）</w:t>
      </w:r>
      <w:r>
        <w:rPr>
          <w:rFonts w:hint="eastAsia" w:ascii="楷体" w:hAnsi="楷体" w:eastAsia="楷体" w:cs="楷体"/>
          <w:b/>
          <w:bCs/>
          <w:color w:val="000000"/>
          <w:kern w:val="0"/>
          <w:sz w:val="32"/>
          <w:szCs w:val="32"/>
          <w:u w:val="none" w:color="auto"/>
        </w:rPr>
        <w:t>收入决算总计 287.83万元。包括：</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640" w:firstLineChars="200"/>
        <w:jc w:val="both"/>
        <w:textAlignment w:val="auto"/>
        <w:rPr>
          <w:rFonts w:hint="eastAsia" w:ascii="仿宋_GB2312" w:hAnsi="仿宋_GB2312" w:eastAsia="仿宋_GB2312" w:cs="Times New Roman"/>
          <w:color w:val="auto"/>
          <w:kern w:val="2"/>
          <w:sz w:val="32"/>
          <w:szCs w:val="22"/>
        </w:rPr>
      </w:pPr>
      <w:r>
        <w:rPr>
          <w:rFonts w:hint="eastAsia" w:ascii="仿宋_GB2312" w:hAnsi="仿宋_GB2312" w:eastAsia="仿宋_GB2312" w:cs="Times New Roman"/>
          <w:color w:val="auto"/>
          <w:kern w:val="2"/>
          <w:sz w:val="32"/>
          <w:szCs w:val="22"/>
        </w:rPr>
        <w:t>1</w:t>
      </w:r>
      <w:r>
        <w:rPr>
          <w:rFonts w:hint="eastAsia" w:ascii="仿宋_GB2312" w:hAnsi="仿宋_GB2312" w:eastAsia="仿宋_GB2312" w:cs="Times New Roman"/>
          <w:color w:val="auto"/>
          <w:kern w:val="2"/>
          <w:sz w:val="32"/>
          <w:szCs w:val="22"/>
          <w:lang w:eastAsia="zh-CN"/>
        </w:rPr>
        <w:t>、</w:t>
      </w:r>
      <w:r>
        <w:rPr>
          <w:rFonts w:hint="eastAsia" w:ascii="仿宋_GB2312" w:hAnsi="仿宋_GB2312" w:eastAsia="仿宋_GB2312" w:cs="Times New Roman"/>
          <w:color w:val="auto"/>
          <w:kern w:val="2"/>
          <w:sz w:val="32"/>
          <w:szCs w:val="22"/>
        </w:rPr>
        <w:t>本年收入决算合计 287.83万元。与上年决算相比，增加 64.34万元，增长 28.79%，变动原因：</w:t>
      </w:r>
      <w:r>
        <w:rPr>
          <w:rFonts w:hint="eastAsia" w:ascii="仿宋_GB2312" w:hAnsi="仿宋_GB2312" w:eastAsia="仿宋_GB2312" w:cs="Times New Roman"/>
          <w:color w:val="auto"/>
          <w:kern w:val="2"/>
          <w:sz w:val="32"/>
          <w:szCs w:val="22"/>
          <w:lang w:val="en-US" w:eastAsia="zh-CN"/>
        </w:rPr>
        <w:t>2024年人员变动、工资调整及项目经费增加导致收入增加</w:t>
      </w:r>
      <w:r>
        <w:rPr>
          <w:rFonts w:hint="eastAsia" w:ascii="仿宋_GB2312" w:hAnsi="仿宋_GB2312" w:eastAsia="仿宋_GB2312" w:cs="Times New Roman"/>
          <w:color w:val="auto"/>
          <w:kern w:val="2"/>
          <w:sz w:val="32"/>
          <w:szCs w:val="22"/>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both"/>
        <w:textAlignment w:val="auto"/>
        <w:rPr>
          <w:rFonts w:hint="eastAsia" w:ascii="仿宋_GB2312" w:hAnsi="仿宋_GB2312" w:eastAsia="仿宋_GB2312" w:cs="Times New Roman"/>
          <w:color w:val="auto"/>
          <w:kern w:val="2"/>
          <w:sz w:val="32"/>
          <w:szCs w:val="22"/>
        </w:rPr>
      </w:pPr>
      <w:r>
        <w:rPr>
          <w:rFonts w:hint="eastAsia" w:ascii="仿宋_GB2312" w:hAnsi="仿宋_GB2312" w:eastAsia="仿宋_GB2312" w:cs="Times New Roman"/>
          <w:color w:val="auto"/>
          <w:kern w:val="2"/>
          <w:sz w:val="32"/>
          <w:szCs w:val="22"/>
        </w:rPr>
        <w:t>2</w:t>
      </w:r>
      <w:r>
        <w:rPr>
          <w:rFonts w:hint="eastAsia" w:ascii="仿宋_GB2312" w:hAnsi="仿宋_GB2312" w:eastAsia="仿宋_GB2312" w:cs="Times New Roman"/>
          <w:color w:val="auto"/>
          <w:kern w:val="2"/>
          <w:sz w:val="32"/>
          <w:szCs w:val="22"/>
          <w:lang w:eastAsia="zh-CN"/>
        </w:rPr>
        <w:t>、</w:t>
      </w:r>
      <w:r>
        <w:rPr>
          <w:rFonts w:hint="eastAsia" w:ascii="仿宋_GB2312" w:hAnsi="仿宋_GB2312" w:eastAsia="仿宋_GB2312" w:cs="Times New Roman"/>
          <w:color w:val="auto"/>
          <w:kern w:val="2"/>
          <w:sz w:val="32"/>
          <w:szCs w:val="22"/>
        </w:rPr>
        <w:t>使用非财政拨款结余（含专用结余）0万元。与上年决算相比</w:t>
      </w:r>
      <w:r>
        <w:rPr>
          <w:rFonts w:hint="eastAsia" w:ascii="仿宋_GB2312" w:hAnsi="仿宋_GB2312" w:eastAsia="仿宋_GB2312" w:cs="Times New Roman"/>
          <w:color w:val="auto"/>
          <w:kern w:val="2"/>
          <w:sz w:val="32"/>
          <w:szCs w:val="22"/>
          <w:lang w:eastAsia="zh-CN"/>
        </w:rPr>
        <w:t>无变化</w:t>
      </w:r>
      <w:r>
        <w:rPr>
          <w:rFonts w:hint="eastAsia" w:ascii="仿宋_GB2312" w:hAnsi="仿宋_GB2312" w:eastAsia="仿宋_GB2312" w:cs="Times New Roman"/>
          <w:color w:val="auto"/>
          <w:kern w:val="2"/>
          <w:sz w:val="32"/>
          <w:szCs w:val="22"/>
        </w:rPr>
        <w:t>。主要原因是</w:t>
      </w:r>
      <w:r>
        <w:rPr>
          <w:rFonts w:hint="eastAsia" w:ascii="仿宋_GB2312" w:hAnsi="仿宋_GB2312" w:eastAsia="仿宋_GB2312" w:cs="Times New Roman"/>
          <w:color w:val="auto"/>
          <w:kern w:val="2"/>
          <w:sz w:val="32"/>
          <w:szCs w:val="22"/>
          <w:lang w:eastAsia="zh-CN"/>
        </w:rPr>
        <w:t>不存在此项内容</w:t>
      </w:r>
      <w:r>
        <w:rPr>
          <w:rFonts w:hint="eastAsia" w:ascii="仿宋_GB2312" w:hAnsi="仿宋_GB2312" w:eastAsia="仿宋_GB2312" w:cs="Times New Roman"/>
          <w:color w:val="auto"/>
          <w:kern w:val="2"/>
          <w:sz w:val="32"/>
          <w:szCs w:val="22"/>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both"/>
        <w:textAlignment w:val="auto"/>
        <w:rPr>
          <w:rFonts w:hint="eastAsia" w:ascii="仿宋_GB2312" w:hAnsi="仿宋_GB2312" w:eastAsia="仿宋_GB2312" w:cs="Times New Roman"/>
          <w:color w:val="auto"/>
          <w:kern w:val="2"/>
          <w:sz w:val="32"/>
          <w:szCs w:val="22"/>
        </w:rPr>
      </w:pPr>
      <w:r>
        <w:rPr>
          <w:rFonts w:hint="eastAsia" w:ascii="仿宋_GB2312" w:hAnsi="仿宋_GB2312" w:eastAsia="仿宋_GB2312" w:cs="Times New Roman"/>
          <w:color w:val="auto"/>
          <w:kern w:val="2"/>
          <w:sz w:val="32"/>
          <w:szCs w:val="22"/>
        </w:rPr>
        <w:t>3</w:t>
      </w:r>
      <w:r>
        <w:rPr>
          <w:rFonts w:hint="eastAsia" w:ascii="仿宋_GB2312" w:hAnsi="仿宋_GB2312" w:eastAsia="仿宋_GB2312" w:cs="Times New Roman"/>
          <w:color w:val="auto"/>
          <w:kern w:val="2"/>
          <w:sz w:val="32"/>
          <w:szCs w:val="22"/>
          <w:lang w:eastAsia="zh-CN"/>
        </w:rPr>
        <w:t>、</w:t>
      </w:r>
      <w:r>
        <w:rPr>
          <w:rFonts w:hint="eastAsia" w:ascii="仿宋_GB2312" w:hAnsi="仿宋_GB2312" w:eastAsia="仿宋_GB2312" w:cs="Times New Roman"/>
          <w:color w:val="auto"/>
          <w:kern w:val="2"/>
          <w:sz w:val="32"/>
          <w:szCs w:val="22"/>
        </w:rPr>
        <w:t>年初结转和结余0万元。与上年决算相比</w:t>
      </w:r>
      <w:r>
        <w:rPr>
          <w:rFonts w:hint="eastAsia" w:ascii="仿宋_GB2312" w:hAnsi="仿宋_GB2312" w:eastAsia="仿宋_GB2312" w:cs="Times New Roman"/>
          <w:color w:val="auto"/>
          <w:kern w:val="2"/>
          <w:sz w:val="32"/>
          <w:szCs w:val="22"/>
          <w:lang w:eastAsia="zh-CN"/>
        </w:rPr>
        <w:t>无变化</w:t>
      </w:r>
      <w:r>
        <w:rPr>
          <w:rFonts w:hint="eastAsia" w:ascii="仿宋_GB2312" w:hAnsi="仿宋_GB2312" w:eastAsia="仿宋_GB2312" w:cs="Times New Roman"/>
          <w:color w:val="auto"/>
          <w:kern w:val="2"/>
          <w:sz w:val="32"/>
          <w:szCs w:val="22"/>
        </w:rPr>
        <w:t>。主要原因是</w:t>
      </w:r>
      <w:r>
        <w:rPr>
          <w:rFonts w:hint="eastAsia" w:ascii="仿宋_GB2312" w:hAnsi="仿宋_GB2312" w:eastAsia="仿宋_GB2312" w:cs="Times New Roman"/>
          <w:color w:val="auto"/>
          <w:kern w:val="2"/>
          <w:sz w:val="32"/>
          <w:szCs w:val="22"/>
          <w:lang w:eastAsia="zh-CN"/>
        </w:rPr>
        <w:t>不存在此项内容</w:t>
      </w:r>
      <w:r>
        <w:rPr>
          <w:rFonts w:hint="eastAsia" w:ascii="仿宋_GB2312" w:hAnsi="仿宋_GB2312" w:eastAsia="仿宋_GB2312" w:cs="Times New Roman"/>
          <w:color w:val="auto"/>
          <w:kern w:val="2"/>
          <w:sz w:val="32"/>
          <w:szCs w:val="22"/>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3" w:firstLineChars="200"/>
        <w:jc w:val="both"/>
        <w:textAlignment w:val="auto"/>
        <w:rPr>
          <w:rFonts w:hint="eastAsia" w:ascii="楷体" w:hAnsi="楷体" w:eastAsia="楷体" w:cs="楷体"/>
          <w:b/>
          <w:bCs/>
          <w:color w:val="000000"/>
          <w:kern w:val="0"/>
          <w:sz w:val="32"/>
          <w:szCs w:val="32"/>
          <w:u w:val="none" w:color="auto"/>
        </w:rPr>
      </w:pPr>
      <w:r>
        <w:rPr>
          <w:rFonts w:hint="eastAsia" w:ascii="楷体" w:hAnsi="楷体" w:eastAsia="楷体" w:cs="楷体"/>
          <w:b/>
          <w:bCs/>
          <w:color w:val="000000"/>
          <w:kern w:val="0"/>
          <w:sz w:val="32"/>
          <w:szCs w:val="32"/>
          <w:u w:val="none" w:color="auto"/>
        </w:rPr>
        <w:t>（二）支出决算总计 287.83万元。包括：</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both"/>
        <w:textAlignment w:val="auto"/>
        <w:rPr>
          <w:rFonts w:hint="eastAsia" w:ascii="仿宋_GB2312" w:hAnsi="仿宋_GB2312" w:eastAsia="仿宋_GB2312" w:cs="仿宋_GB2312"/>
          <w:color w:val="auto"/>
          <w:kern w:val="2"/>
          <w:sz w:val="32"/>
          <w:szCs w:val="22"/>
          <w:lang w:val="en-US" w:eastAsia="zh-CN"/>
        </w:rPr>
      </w:pPr>
      <w:r>
        <w:rPr>
          <w:rFonts w:hint="eastAsia" w:ascii="仿宋_GB2312" w:hAnsi="仿宋_GB2312" w:eastAsia="仿宋_GB2312" w:cs="仿宋_GB2312"/>
          <w:color w:val="auto"/>
          <w:kern w:val="2"/>
          <w:sz w:val="32"/>
          <w:szCs w:val="22"/>
        </w:rPr>
        <w:t>1</w:t>
      </w:r>
      <w:r>
        <w:rPr>
          <w:rFonts w:hint="eastAsia" w:ascii="仿宋_GB2312" w:hAnsi="仿宋_GB2312" w:eastAsia="仿宋_GB2312" w:cs="仿宋_GB2312"/>
          <w:color w:val="auto"/>
          <w:kern w:val="2"/>
          <w:sz w:val="32"/>
          <w:szCs w:val="22"/>
          <w:lang w:eastAsia="zh-CN"/>
        </w:rPr>
        <w:t>、</w:t>
      </w:r>
      <w:r>
        <w:rPr>
          <w:rFonts w:hint="eastAsia" w:ascii="仿宋_GB2312" w:hAnsi="仿宋_GB2312" w:eastAsia="仿宋_GB2312" w:cs="仿宋_GB2312"/>
          <w:color w:val="auto"/>
          <w:kern w:val="2"/>
          <w:sz w:val="32"/>
          <w:szCs w:val="22"/>
        </w:rPr>
        <w:t>本年支出决算合计 287.83万元。与上年决算相比，增加 64.34万元，增长 28.79%，变动原因：</w:t>
      </w:r>
      <w:r>
        <w:rPr>
          <w:rFonts w:hint="eastAsia" w:ascii="仿宋_GB2312" w:hAnsi="仿宋_GB2312" w:eastAsia="仿宋_GB2312" w:cs="仿宋_GB2312"/>
          <w:color w:val="auto"/>
          <w:kern w:val="2"/>
          <w:sz w:val="32"/>
          <w:szCs w:val="22"/>
          <w:lang w:val="en-US" w:eastAsia="zh-CN"/>
        </w:rPr>
        <w:t>2024年人员变动、工资调整及项目经费增加导致支出增加。</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both"/>
        <w:textAlignment w:val="auto"/>
        <w:rPr>
          <w:rFonts w:hint="eastAsia" w:ascii="仿宋_GB2312" w:hAnsi="仿宋_GB2312" w:eastAsia="仿宋_GB2312" w:cs="仿宋_GB2312"/>
          <w:color w:val="auto"/>
          <w:kern w:val="2"/>
          <w:sz w:val="32"/>
          <w:szCs w:val="22"/>
        </w:rPr>
      </w:pPr>
      <w:r>
        <w:rPr>
          <w:rFonts w:hint="eastAsia" w:ascii="仿宋_GB2312" w:hAnsi="仿宋_GB2312" w:eastAsia="仿宋_GB2312" w:cs="仿宋_GB2312"/>
          <w:color w:val="auto"/>
          <w:kern w:val="2"/>
          <w:sz w:val="32"/>
          <w:szCs w:val="22"/>
        </w:rPr>
        <w:t>2</w:t>
      </w:r>
      <w:r>
        <w:rPr>
          <w:rFonts w:hint="eastAsia" w:ascii="仿宋_GB2312" w:hAnsi="仿宋_GB2312" w:eastAsia="仿宋_GB2312" w:cs="仿宋_GB2312"/>
          <w:color w:val="auto"/>
          <w:kern w:val="2"/>
          <w:sz w:val="32"/>
          <w:szCs w:val="22"/>
          <w:lang w:eastAsia="zh-CN"/>
        </w:rPr>
        <w:t>、</w:t>
      </w:r>
      <w:r>
        <w:rPr>
          <w:rFonts w:hint="eastAsia" w:ascii="仿宋_GB2312" w:hAnsi="仿宋_GB2312" w:eastAsia="仿宋_GB2312" w:cs="仿宋_GB2312"/>
          <w:color w:val="auto"/>
          <w:kern w:val="2"/>
          <w:sz w:val="32"/>
          <w:szCs w:val="22"/>
        </w:rPr>
        <w:t>结余分配 0万元。与上年决算相比</w:t>
      </w:r>
      <w:r>
        <w:rPr>
          <w:rFonts w:hint="eastAsia" w:ascii="仿宋_GB2312" w:hAnsi="仿宋_GB2312" w:eastAsia="仿宋_GB2312" w:cs="仿宋_GB2312"/>
          <w:color w:val="auto"/>
          <w:kern w:val="2"/>
          <w:sz w:val="32"/>
          <w:szCs w:val="22"/>
          <w:lang w:eastAsia="zh-CN"/>
        </w:rPr>
        <w:t>无变化</w:t>
      </w:r>
      <w:r>
        <w:rPr>
          <w:rFonts w:hint="eastAsia" w:ascii="仿宋_GB2312" w:hAnsi="仿宋_GB2312" w:eastAsia="仿宋_GB2312" w:cs="仿宋_GB2312"/>
          <w:color w:val="auto"/>
          <w:kern w:val="2"/>
          <w:sz w:val="32"/>
          <w:szCs w:val="22"/>
        </w:rPr>
        <w:t>。主要原因是</w:t>
      </w:r>
      <w:r>
        <w:rPr>
          <w:rFonts w:hint="eastAsia" w:ascii="仿宋_GB2312" w:hAnsi="仿宋_GB2312" w:eastAsia="仿宋_GB2312" w:cs="仿宋_GB2312"/>
          <w:color w:val="auto"/>
          <w:kern w:val="2"/>
          <w:sz w:val="32"/>
          <w:szCs w:val="22"/>
          <w:lang w:eastAsia="zh-CN"/>
        </w:rPr>
        <w:t>不存在此项内容</w:t>
      </w:r>
      <w:r>
        <w:rPr>
          <w:rFonts w:hint="eastAsia" w:ascii="仿宋_GB2312" w:hAnsi="仿宋_GB2312" w:eastAsia="仿宋_GB2312" w:cs="仿宋_GB2312"/>
          <w:color w:val="auto"/>
          <w:kern w:val="2"/>
          <w:sz w:val="32"/>
          <w:szCs w:val="22"/>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both"/>
        <w:textAlignment w:val="auto"/>
        <w:rPr>
          <w:rFonts w:hint="eastAsia" w:ascii="仿宋_GB2312" w:hAnsi="仿宋_GB2312" w:eastAsia="仿宋_GB2312" w:cs="仿宋_GB2312"/>
          <w:color w:val="auto"/>
          <w:kern w:val="2"/>
          <w:sz w:val="32"/>
          <w:szCs w:val="22"/>
        </w:rPr>
      </w:pPr>
      <w:r>
        <w:rPr>
          <w:rFonts w:hint="eastAsia" w:ascii="仿宋_GB2312" w:hAnsi="仿宋_GB2312" w:eastAsia="仿宋_GB2312" w:cs="仿宋_GB2312"/>
          <w:color w:val="auto"/>
          <w:kern w:val="2"/>
          <w:sz w:val="32"/>
          <w:szCs w:val="22"/>
        </w:rPr>
        <w:t>3</w:t>
      </w:r>
      <w:r>
        <w:rPr>
          <w:rFonts w:hint="eastAsia" w:ascii="仿宋_GB2312" w:hAnsi="仿宋_GB2312" w:eastAsia="仿宋_GB2312" w:cs="仿宋_GB2312"/>
          <w:color w:val="auto"/>
          <w:kern w:val="2"/>
          <w:sz w:val="32"/>
          <w:szCs w:val="22"/>
          <w:lang w:eastAsia="zh-CN"/>
        </w:rPr>
        <w:t>、</w:t>
      </w:r>
      <w:r>
        <w:rPr>
          <w:rFonts w:hint="eastAsia" w:ascii="仿宋_GB2312" w:hAnsi="仿宋_GB2312" w:eastAsia="仿宋_GB2312" w:cs="仿宋_GB2312"/>
          <w:color w:val="auto"/>
          <w:kern w:val="2"/>
          <w:sz w:val="32"/>
          <w:szCs w:val="22"/>
        </w:rPr>
        <w:t>年末结转和结余 0万元。与上年决算相比</w:t>
      </w:r>
      <w:r>
        <w:rPr>
          <w:rFonts w:hint="eastAsia" w:ascii="仿宋_GB2312" w:hAnsi="仿宋_GB2312" w:eastAsia="仿宋_GB2312" w:cs="仿宋_GB2312"/>
          <w:color w:val="auto"/>
          <w:kern w:val="2"/>
          <w:sz w:val="32"/>
          <w:szCs w:val="22"/>
          <w:lang w:eastAsia="zh-CN"/>
        </w:rPr>
        <w:t>无变化</w:t>
      </w:r>
      <w:r>
        <w:rPr>
          <w:rFonts w:hint="eastAsia" w:ascii="仿宋_GB2312" w:hAnsi="仿宋_GB2312" w:eastAsia="仿宋_GB2312" w:cs="仿宋_GB2312"/>
          <w:color w:val="auto"/>
          <w:kern w:val="2"/>
          <w:sz w:val="32"/>
          <w:szCs w:val="22"/>
        </w:rPr>
        <w:t>。主要原因是</w:t>
      </w:r>
      <w:r>
        <w:rPr>
          <w:rFonts w:hint="eastAsia" w:ascii="仿宋_GB2312" w:hAnsi="仿宋_GB2312" w:eastAsia="仿宋_GB2312" w:cs="仿宋_GB2312"/>
          <w:color w:val="auto"/>
          <w:kern w:val="2"/>
          <w:sz w:val="32"/>
          <w:szCs w:val="22"/>
          <w:lang w:eastAsia="zh-CN"/>
        </w:rPr>
        <w:t>不存在此项内容</w:t>
      </w:r>
      <w:r>
        <w:rPr>
          <w:rFonts w:hint="eastAsia" w:ascii="仿宋_GB2312" w:hAnsi="仿宋_GB2312" w:eastAsia="仿宋_GB2312" w:cs="仿宋_GB2312"/>
          <w:color w:val="auto"/>
          <w:kern w:val="2"/>
          <w:sz w:val="32"/>
          <w:szCs w:val="22"/>
        </w:rPr>
        <w:t>。</w:t>
      </w:r>
    </w:p>
    <w:p>
      <w:pPr>
        <w:keepNext w:val="0"/>
        <w:keepLines w:val="0"/>
        <w:pageBreakBefore w:val="0"/>
        <w:widowControl/>
        <w:kinsoku/>
        <w:wordWrap/>
        <w:overflowPunct/>
        <w:topLinePunct w:val="0"/>
        <w:bidi w:val="0"/>
        <w:snapToGrid/>
        <w:spacing w:line="360" w:lineRule="auto"/>
        <w:jc w:val="left"/>
        <w:textAlignment w:val="auto"/>
        <w:rPr>
          <w:rFonts w:ascii="Times New Roman" w:hAnsi="Times New Roman" w:eastAsia="Times New Roman" w:cs="Times New Roman"/>
          <w:kern w:val="0"/>
          <w:sz w:val="24"/>
          <w:u w:val="none" w:color="auto"/>
        </w:rPr>
      </w:pPr>
      <w:r>
        <w:rPr>
          <w:rFonts w:ascii="Calibri" w:hAnsi="Calibri" w:eastAsia="Calibri" w:cs="Calibri"/>
          <w:b/>
          <w:bCs/>
          <w:kern w:val="0"/>
          <w:sz w:val="27"/>
          <w:szCs w:val="27"/>
          <w:u w:val="none" w:color="auto"/>
        </w:rPr>
        <w:t> </w:t>
      </w:r>
      <w:r>
        <w:rPr>
          <w:rFonts w:ascii="黑体" w:hAnsi="黑体" w:eastAsia="黑体" w:cs="黑体"/>
          <w:b/>
          <w:bCs/>
          <w:kern w:val="0"/>
          <w:sz w:val="27"/>
          <w:szCs w:val="27"/>
          <w:u w:val="none" w:color="auto"/>
        </w:rPr>
        <w:t xml:space="preserve"> </w:t>
      </w:r>
      <w:r>
        <w:rPr>
          <w:rFonts w:ascii="Calibri" w:hAnsi="Calibri" w:eastAsia="Calibri" w:cs="Calibri"/>
          <w:b/>
          <w:bCs/>
          <w:kern w:val="0"/>
          <w:sz w:val="27"/>
          <w:szCs w:val="27"/>
          <w:u w:val="none" w:color="auto"/>
        </w:rPr>
        <w:t> </w:t>
      </w:r>
      <w:r>
        <w:rPr>
          <w:rFonts w:hint="eastAsia" w:ascii="Calibri" w:hAnsi="Calibri" w:eastAsia="宋体" w:cs="Calibri"/>
          <w:b/>
          <w:bCs/>
          <w:kern w:val="0"/>
          <w:sz w:val="27"/>
          <w:szCs w:val="27"/>
          <w:u w:val="none" w:color="auto"/>
          <w:lang w:val="en-US" w:eastAsia="zh-CN"/>
        </w:rPr>
        <w:t xml:space="preserve">  </w:t>
      </w:r>
      <w:r>
        <w:rPr>
          <w:rFonts w:ascii="黑体" w:hAnsi="黑体" w:eastAsia="黑体" w:cs="黑体"/>
          <w:b/>
          <w:bCs/>
          <w:kern w:val="0"/>
          <w:sz w:val="27"/>
          <w:szCs w:val="27"/>
          <w:u w:val="none" w:color="auto"/>
        </w:rPr>
        <w:t xml:space="preserve"> </w:t>
      </w:r>
      <w:r>
        <w:rPr>
          <w:rFonts w:hint="eastAsia" w:ascii="黑体" w:hAnsi="黑体" w:eastAsia="黑体" w:cs="Times New Roman"/>
          <w:b/>
          <w:color w:val="auto"/>
          <w:kern w:val="2"/>
          <w:sz w:val="32"/>
          <w:szCs w:val="32"/>
          <w:u w:val="none" w:color="auto"/>
          <w:lang w:val="en-US" w:eastAsia="zh-CN"/>
        </w:rPr>
        <w:t>二、收入决算情况说明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kern w:val="0"/>
          <w:sz w:val="32"/>
          <w:szCs w:val="32"/>
          <w:u w:val="none" w:color="auto"/>
        </w:rPr>
      </w:pPr>
      <w:r>
        <w:rPr>
          <w:rFonts w:hint="eastAsia" w:ascii="仿宋_GB2312" w:hAnsi="仿宋_GB2312" w:eastAsia="仿宋_GB2312" w:cs="仿宋_GB2312"/>
          <w:color w:val="000000"/>
          <w:kern w:val="0"/>
          <w:sz w:val="32"/>
          <w:szCs w:val="32"/>
          <w:u w:val="none" w:color="auto"/>
        </w:rPr>
        <w:t>中共磴口县委员会机构编制委员会办公室 （部门）2024年度本年收入决算合计 287.83万元，其中：</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kern w:val="0"/>
          <w:sz w:val="32"/>
          <w:szCs w:val="32"/>
          <w:u w:val="none" w:color="auto"/>
        </w:rPr>
      </w:pPr>
      <w:r>
        <w:rPr>
          <w:rFonts w:hint="eastAsia" w:ascii="仿宋_GB2312" w:hAnsi="仿宋_GB2312" w:eastAsia="仿宋_GB2312" w:cs="仿宋_GB2312"/>
          <w:color w:val="000000"/>
          <w:kern w:val="0"/>
          <w:sz w:val="32"/>
          <w:szCs w:val="32"/>
          <w:u w:val="none" w:color="auto"/>
        </w:rPr>
        <w:t>本年一般公共预算财政拨款收入 287.83万元，占 100%；</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kern w:val="0"/>
          <w:sz w:val="32"/>
          <w:szCs w:val="32"/>
          <w:u w:val="none" w:color="auto"/>
        </w:rPr>
      </w:pPr>
      <w:r>
        <w:rPr>
          <w:rFonts w:hint="eastAsia" w:ascii="仿宋_GB2312" w:hAnsi="仿宋_GB2312" w:eastAsia="仿宋_GB2312" w:cs="仿宋_GB2312"/>
          <w:color w:val="000000"/>
          <w:kern w:val="0"/>
          <w:sz w:val="32"/>
          <w:szCs w:val="32"/>
          <w:u w:val="none" w:color="auto"/>
        </w:rPr>
        <w:t>本年政府性基金预算财政拨款收入</w:t>
      </w:r>
      <w:r>
        <w:rPr>
          <w:rFonts w:hint="eastAsia" w:ascii="仿宋_GB2312" w:hAnsi="仿宋_GB2312" w:eastAsia="仿宋_GB2312" w:cs="仿宋_GB2312"/>
          <w:color w:val="000000"/>
          <w:kern w:val="0"/>
          <w:sz w:val="32"/>
          <w:szCs w:val="32"/>
          <w:u w:val="none" w:color="auto"/>
          <w:lang w:val="en-US" w:eastAsia="zh-CN"/>
        </w:rPr>
        <w:t>0</w:t>
      </w:r>
      <w:r>
        <w:rPr>
          <w:rFonts w:hint="eastAsia" w:ascii="仿宋_GB2312" w:hAnsi="仿宋_GB2312" w:eastAsia="仿宋_GB2312" w:cs="仿宋_GB2312"/>
          <w:color w:val="000000"/>
          <w:kern w:val="0"/>
          <w:sz w:val="32"/>
          <w:szCs w:val="32"/>
          <w:u w:val="none" w:color="auto"/>
        </w:rPr>
        <w:t>万元，占0%；</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kern w:val="0"/>
          <w:sz w:val="32"/>
          <w:szCs w:val="32"/>
          <w:u w:val="none" w:color="auto"/>
        </w:rPr>
      </w:pPr>
      <w:r>
        <w:rPr>
          <w:rFonts w:hint="eastAsia" w:ascii="仿宋_GB2312" w:hAnsi="仿宋_GB2312" w:eastAsia="仿宋_GB2312" w:cs="仿宋_GB2312"/>
          <w:color w:val="000000"/>
          <w:kern w:val="0"/>
          <w:sz w:val="32"/>
          <w:szCs w:val="32"/>
          <w:u w:val="none" w:color="auto"/>
        </w:rPr>
        <w:t>本年国有资本经营预算财政拨款收入0万元，占0%；</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kern w:val="0"/>
          <w:sz w:val="32"/>
          <w:szCs w:val="32"/>
          <w:u w:val="none" w:color="auto"/>
        </w:rPr>
      </w:pPr>
      <w:r>
        <w:rPr>
          <w:rFonts w:hint="eastAsia" w:ascii="仿宋_GB2312" w:hAnsi="仿宋_GB2312" w:eastAsia="仿宋_GB2312" w:cs="仿宋_GB2312"/>
          <w:color w:val="000000"/>
          <w:kern w:val="0"/>
          <w:sz w:val="32"/>
          <w:szCs w:val="32"/>
          <w:u w:val="none" w:color="auto"/>
        </w:rPr>
        <w:t>本年上级补助收入0万元，占0%；</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kern w:val="0"/>
          <w:sz w:val="32"/>
          <w:szCs w:val="32"/>
          <w:u w:val="none" w:color="auto"/>
        </w:rPr>
      </w:pPr>
      <w:r>
        <w:rPr>
          <w:rFonts w:hint="eastAsia" w:ascii="仿宋_GB2312" w:hAnsi="仿宋_GB2312" w:eastAsia="仿宋_GB2312" w:cs="仿宋_GB2312"/>
          <w:color w:val="000000"/>
          <w:kern w:val="0"/>
          <w:sz w:val="32"/>
          <w:szCs w:val="32"/>
          <w:u w:val="none" w:color="auto"/>
        </w:rPr>
        <w:t>本年事业收入 0万元，占 0%；</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kern w:val="0"/>
          <w:sz w:val="32"/>
          <w:szCs w:val="32"/>
          <w:u w:val="none" w:color="auto"/>
        </w:rPr>
      </w:pPr>
      <w:r>
        <w:rPr>
          <w:rFonts w:hint="eastAsia" w:ascii="仿宋_GB2312" w:hAnsi="仿宋_GB2312" w:eastAsia="仿宋_GB2312" w:cs="仿宋_GB2312"/>
          <w:color w:val="000000"/>
          <w:kern w:val="0"/>
          <w:sz w:val="32"/>
          <w:szCs w:val="32"/>
          <w:u w:val="none" w:color="auto"/>
        </w:rPr>
        <w:t>本年经营收入 0万元，占 0%；</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kern w:val="0"/>
          <w:sz w:val="32"/>
          <w:szCs w:val="32"/>
          <w:u w:val="none" w:color="auto"/>
        </w:rPr>
      </w:pPr>
      <w:r>
        <w:rPr>
          <w:rFonts w:hint="eastAsia" w:ascii="仿宋_GB2312" w:hAnsi="仿宋_GB2312" w:eastAsia="仿宋_GB2312" w:cs="仿宋_GB2312"/>
          <w:color w:val="000000"/>
          <w:kern w:val="0"/>
          <w:sz w:val="32"/>
          <w:szCs w:val="32"/>
          <w:u w:val="none" w:color="auto"/>
        </w:rPr>
        <w:t>本年附属单位上缴收入 0万元，占 0%；</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kern w:val="0"/>
          <w:sz w:val="32"/>
          <w:szCs w:val="32"/>
          <w:u w:val="none" w:color="auto"/>
        </w:rPr>
      </w:pPr>
      <w:r>
        <w:rPr>
          <w:rFonts w:hint="eastAsia" w:ascii="仿宋_GB2312" w:hAnsi="仿宋_GB2312" w:eastAsia="仿宋_GB2312" w:cs="仿宋_GB2312"/>
          <w:color w:val="000000"/>
          <w:kern w:val="0"/>
          <w:sz w:val="32"/>
          <w:szCs w:val="32"/>
          <w:u w:val="none" w:color="auto"/>
        </w:rPr>
        <w:t>本年其他收入 0万元，占 0%。</w:t>
      </w:r>
    </w:p>
    <w:p>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仿宋_GB2312" w:hAnsi="仿宋_GB2312" w:eastAsia="仿宋_GB2312" w:cs="仿宋_GB2312"/>
          <w:kern w:val="0"/>
          <w:sz w:val="32"/>
          <w:szCs w:val="32"/>
          <w:u w:val="none" w:color="auto"/>
        </w:rPr>
      </w:pPr>
    </w:p>
    <w:p>
      <w:pPr>
        <w:keepNext w:val="0"/>
        <w:keepLines w:val="0"/>
        <w:pageBreakBefore w:val="0"/>
        <w:widowControl/>
        <w:wordWrap/>
        <w:overflowPunct/>
        <w:topLinePunct w:val="0"/>
        <w:bidi w:val="0"/>
        <w:spacing w:line="360" w:lineRule="auto"/>
        <w:jc w:val="center"/>
        <w:rPr>
          <w:rFonts w:ascii="Times New Roman" w:hAnsi="Times New Roman" w:eastAsia="Times New Roman" w:cs="Times New Roman"/>
          <w:kern w:val="0"/>
          <w:sz w:val="24"/>
          <w:u w:val="none" w:color="auto"/>
        </w:rPr>
      </w:pPr>
      <w:r>
        <w:rPr>
          <w:rFonts w:ascii="Times New Roman" w:hAnsi="Times New Roman" w:eastAsia="Times New Roman" w:cs="Times New Roman"/>
          <w:strike w:val="0"/>
          <w:kern w:val="0"/>
          <w:sz w:val="24"/>
          <w:u w:val="none" w:color="auto"/>
        </w:rPr>
        <w:drawing>
          <wp:inline distT="0" distB="0" distL="114300" distR="114300">
            <wp:extent cx="3895725" cy="2434590"/>
            <wp:effectExtent l="0" t="0" r="952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895725" cy="2434590"/>
                    </a:xfrm>
                    <a:prstGeom prst="rect">
                      <a:avLst/>
                    </a:prstGeom>
                    <a:noFill/>
                    <a:ln>
                      <a:noFill/>
                    </a:ln>
                  </pic:spPr>
                </pic:pic>
              </a:graphicData>
            </a:graphic>
          </wp:inline>
        </w:drawing>
      </w:r>
      <w:r>
        <w:rPr>
          <w:rFonts w:ascii="Times New Roman" w:hAnsi="Times New Roman" w:eastAsia="Times New Roman" w:cs="Times New Roman"/>
          <w:kern w:val="0"/>
          <w:sz w:val="24"/>
          <w:u w:val="none" w:color="auto"/>
        </w:rPr>
        <w:t xml:space="preserve">  </w:t>
      </w:r>
    </w:p>
    <w:p>
      <w:pPr>
        <w:keepNext w:val="0"/>
        <w:keepLines w:val="0"/>
        <w:pageBreakBefore w:val="0"/>
        <w:widowControl/>
        <w:wordWrap/>
        <w:overflowPunct/>
        <w:topLinePunct w:val="0"/>
        <w:bidi w:val="0"/>
        <w:spacing w:line="360" w:lineRule="auto"/>
        <w:jc w:val="center"/>
        <w:rPr>
          <w:rFonts w:hint="eastAsia" w:ascii="仿宋_GB2312" w:hAnsi="仿宋_GB2312" w:eastAsia="仿宋_GB2312" w:cs="仿宋_GB2312"/>
          <w:kern w:val="0"/>
          <w:sz w:val="32"/>
          <w:szCs w:val="32"/>
          <w:u w:val="none" w:color="auto"/>
        </w:rPr>
      </w:pPr>
      <w:r>
        <w:rPr>
          <w:rFonts w:hint="eastAsia" w:ascii="仿宋_GB2312" w:hAnsi="仿宋_GB2312" w:eastAsia="仿宋_GB2312" w:cs="仿宋_GB2312"/>
          <w:kern w:val="0"/>
          <w:sz w:val="32"/>
          <w:szCs w:val="32"/>
          <w:u w:val="none" w:color="auto"/>
        </w:rPr>
        <w:t>图1.收入决算图</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both"/>
        <w:textAlignment w:val="auto"/>
        <w:rPr>
          <w:rFonts w:hint="eastAsia" w:ascii="黑体" w:hAnsi="黑体" w:eastAsia="黑体" w:cs="Times New Roman"/>
          <w:b/>
          <w:color w:val="auto"/>
          <w:kern w:val="2"/>
          <w:sz w:val="32"/>
          <w:szCs w:val="32"/>
          <w:u w:val="none" w:color="auto"/>
          <w:lang w:val="en-US" w:eastAsia="zh-CN"/>
        </w:rPr>
      </w:pPr>
      <w:r>
        <w:rPr>
          <w:rFonts w:hint="eastAsia" w:ascii="黑体" w:hAnsi="黑体" w:eastAsia="黑体" w:cs="Times New Roman"/>
          <w:b/>
          <w:color w:val="auto"/>
          <w:kern w:val="2"/>
          <w:sz w:val="32"/>
          <w:szCs w:val="32"/>
          <w:u w:val="none" w:color="auto"/>
          <w:lang w:val="en-US" w:eastAsia="zh-CN"/>
        </w:rPr>
        <w:t>三、支出决算情况说明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000000"/>
          <w:kern w:val="0"/>
          <w:sz w:val="32"/>
          <w:szCs w:val="32"/>
          <w:u w:val="none" w:color="auto"/>
        </w:rPr>
      </w:pPr>
      <w:r>
        <w:rPr>
          <w:rFonts w:hint="eastAsia" w:ascii="仿宋_GB2312" w:hAnsi="仿宋_GB2312" w:eastAsia="仿宋_GB2312" w:cs="仿宋_GB2312"/>
          <w:color w:val="000000"/>
          <w:kern w:val="0"/>
          <w:sz w:val="32"/>
          <w:szCs w:val="32"/>
          <w:u w:val="none" w:color="auto"/>
        </w:rPr>
        <w:t>中共磴口县委员会机构编制委员会办公室（部门） 2024年度本年支出决算合计 287.83万元，其中：</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kern w:val="0"/>
          <w:sz w:val="32"/>
          <w:szCs w:val="32"/>
          <w:u w:val="none" w:color="auto"/>
        </w:rPr>
      </w:pPr>
      <w:r>
        <w:rPr>
          <w:rFonts w:hint="eastAsia" w:ascii="仿宋_GB2312" w:hAnsi="仿宋_GB2312" w:eastAsia="仿宋_GB2312" w:cs="仿宋_GB2312"/>
          <w:color w:val="000000"/>
          <w:kern w:val="0"/>
          <w:sz w:val="32"/>
          <w:szCs w:val="32"/>
          <w:u w:val="none" w:color="auto"/>
        </w:rPr>
        <w:t>本年基本支出 277.83万元，占96.53%；</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kern w:val="0"/>
          <w:sz w:val="32"/>
          <w:szCs w:val="32"/>
          <w:u w:val="none" w:color="auto"/>
        </w:rPr>
      </w:pPr>
      <w:r>
        <w:rPr>
          <w:rFonts w:hint="eastAsia" w:ascii="仿宋_GB2312" w:hAnsi="仿宋_GB2312" w:eastAsia="仿宋_GB2312" w:cs="仿宋_GB2312"/>
          <w:color w:val="000000"/>
          <w:kern w:val="0"/>
          <w:sz w:val="32"/>
          <w:szCs w:val="32"/>
          <w:u w:val="none" w:color="auto"/>
        </w:rPr>
        <w:t>本年项目支出 10万元，占3.47%；</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kern w:val="0"/>
          <w:sz w:val="32"/>
          <w:szCs w:val="32"/>
          <w:u w:val="none" w:color="auto"/>
        </w:rPr>
      </w:pPr>
      <w:r>
        <w:rPr>
          <w:rFonts w:hint="eastAsia" w:ascii="仿宋_GB2312" w:hAnsi="仿宋_GB2312" w:eastAsia="仿宋_GB2312" w:cs="仿宋_GB2312"/>
          <w:color w:val="000000"/>
          <w:kern w:val="0"/>
          <w:sz w:val="32"/>
          <w:szCs w:val="32"/>
          <w:u w:val="none" w:color="auto"/>
          <w:lang w:val="en-US" w:eastAsia="zh-CN"/>
        </w:rPr>
        <w:t>本</w:t>
      </w:r>
      <w:r>
        <w:rPr>
          <w:rFonts w:hint="eastAsia" w:ascii="仿宋_GB2312" w:hAnsi="仿宋_GB2312" w:eastAsia="仿宋_GB2312" w:cs="仿宋_GB2312"/>
          <w:color w:val="000000"/>
          <w:kern w:val="0"/>
          <w:sz w:val="32"/>
          <w:szCs w:val="32"/>
          <w:u w:val="none" w:color="auto"/>
        </w:rPr>
        <w:t>年上缴上级支出 0万元，占0%；</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kern w:val="0"/>
          <w:sz w:val="32"/>
          <w:szCs w:val="32"/>
          <w:u w:val="none" w:color="auto"/>
        </w:rPr>
      </w:pPr>
      <w:r>
        <w:rPr>
          <w:rFonts w:hint="eastAsia" w:ascii="仿宋_GB2312" w:hAnsi="仿宋_GB2312" w:eastAsia="仿宋_GB2312" w:cs="仿宋_GB2312"/>
          <w:color w:val="000000"/>
          <w:kern w:val="0"/>
          <w:sz w:val="32"/>
          <w:szCs w:val="32"/>
          <w:u w:val="none" w:color="auto"/>
        </w:rPr>
        <w:t>本年经营支出 0万元，占0%；</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kern w:val="0"/>
          <w:sz w:val="32"/>
          <w:szCs w:val="32"/>
          <w:u w:val="none" w:color="auto"/>
          <w:lang w:val="en-US" w:eastAsia="zh-CN"/>
        </w:rPr>
      </w:pPr>
      <w:r>
        <w:rPr>
          <w:rFonts w:hint="eastAsia" w:ascii="仿宋_GB2312" w:hAnsi="仿宋_GB2312" w:eastAsia="仿宋_GB2312" w:cs="仿宋_GB2312"/>
          <w:color w:val="000000"/>
          <w:kern w:val="0"/>
          <w:sz w:val="32"/>
          <w:szCs w:val="32"/>
          <w:u w:val="none" w:color="auto"/>
        </w:rPr>
        <w:t>本年对附属单位补助支出 0万元，占0%。</w:t>
      </w:r>
      <w:r>
        <w:rPr>
          <w:rFonts w:hint="eastAsia" w:ascii="仿宋_GB2312" w:hAnsi="仿宋_GB2312" w:eastAsia="仿宋_GB2312" w:cs="仿宋_GB2312"/>
          <w:color w:val="000000"/>
          <w:kern w:val="0"/>
          <w:sz w:val="32"/>
          <w:szCs w:val="32"/>
          <w:u w:val="none" w:color="auto"/>
          <w:lang w:val="en-US" w:eastAsia="zh-CN"/>
        </w:rPr>
        <w:t xml:space="preserve"> </w:t>
      </w:r>
    </w:p>
    <w:p>
      <w:pPr>
        <w:pStyle w:val="2"/>
        <w:rPr>
          <w:rFonts w:hint="eastAsia"/>
          <w:lang w:val="en-US" w:eastAsia="zh-CN"/>
        </w:rPr>
      </w:pPr>
    </w:p>
    <w:p>
      <w:pPr>
        <w:keepNext w:val="0"/>
        <w:keepLines w:val="0"/>
        <w:pageBreakBefore w:val="0"/>
        <w:widowControl/>
        <w:wordWrap/>
        <w:overflowPunct/>
        <w:topLinePunct w:val="0"/>
        <w:bidi w:val="0"/>
        <w:spacing w:line="360" w:lineRule="auto"/>
        <w:jc w:val="center"/>
        <w:rPr>
          <w:rFonts w:ascii="Times New Roman" w:hAnsi="Times New Roman" w:eastAsia="Times New Roman" w:cs="Times New Roman"/>
          <w:kern w:val="0"/>
          <w:sz w:val="24"/>
          <w:u w:val="none" w:color="auto"/>
        </w:rPr>
      </w:pPr>
      <w:r>
        <w:rPr>
          <w:rFonts w:ascii="Times New Roman" w:hAnsi="Times New Roman" w:eastAsia="Times New Roman" w:cs="Times New Roman"/>
          <w:strike w:val="0"/>
          <w:kern w:val="0"/>
          <w:sz w:val="24"/>
          <w:u w:val="none" w:color="auto"/>
        </w:rPr>
        <w:drawing>
          <wp:inline distT="0" distB="0" distL="114300" distR="114300">
            <wp:extent cx="3976370" cy="2514600"/>
            <wp:effectExtent l="0" t="0" r="508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7"/>
                    <a:stretch>
                      <a:fillRect/>
                    </a:stretch>
                  </pic:blipFill>
                  <pic:spPr>
                    <a:xfrm>
                      <a:off x="0" y="0"/>
                      <a:ext cx="3976370" cy="2514600"/>
                    </a:xfrm>
                    <a:prstGeom prst="rect">
                      <a:avLst/>
                    </a:prstGeom>
                    <a:noFill/>
                    <a:ln>
                      <a:noFill/>
                    </a:ln>
                  </pic:spPr>
                </pic:pic>
              </a:graphicData>
            </a:graphic>
          </wp:inline>
        </w:drawing>
      </w:r>
      <w:r>
        <w:rPr>
          <w:rFonts w:ascii="Times New Roman" w:hAnsi="Times New Roman" w:eastAsia="Times New Roman" w:cs="Times New Roman"/>
          <w:kern w:val="0"/>
          <w:sz w:val="24"/>
          <w:u w:val="none" w:color="auto"/>
        </w:rPr>
        <w:t xml:space="preserve">  </w:t>
      </w:r>
    </w:p>
    <w:p>
      <w:pPr>
        <w:keepNext w:val="0"/>
        <w:keepLines w:val="0"/>
        <w:pageBreakBefore w:val="0"/>
        <w:widowControl/>
        <w:wordWrap/>
        <w:overflowPunct/>
        <w:topLinePunct w:val="0"/>
        <w:bidi w:val="0"/>
        <w:spacing w:line="360" w:lineRule="auto"/>
        <w:jc w:val="center"/>
        <w:rPr>
          <w:rFonts w:ascii="Times New Roman" w:hAnsi="Times New Roman" w:eastAsia="Times New Roman" w:cs="Times New Roman"/>
          <w:kern w:val="0"/>
          <w:sz w:val="24"/>
          <w:u w:val="none" w:color="auto"/>
        </w:rPr>
      </w:pPr>
      <w:r>
        <w:rPr>
          <w:rFonts w:hint="eastAsia" w:ascii="仿宋_GB2312" w:hAnsi="仿宋_GB2312" w:eastAsia="仿宋_GB2312" w:cs="仿宋_GB2312"/>
          <w:kern w:val="0"/>
          <w:sz w:val="32"/>
          <w:szCs w:val="32"/>
          <w:u w:val="none" w:color="auto"/>
        </w:rPr>
        <w:t>图2.支出决算图</w:t>
      </w:r>
    </w:p>
    <w:p>
      <w:pPr>
        <w:keepNext w:val="0"/>
        <w:keepLines w:val="0"/>
        <w:pageBreakBefore w:val="0"/>
        <w:widowControl/>
        <w:wordWrap/>
        <w:overflowPunct/>
        <w:topLinePunct w:val="0"/>
        <w:bidi w:val="0"/>
        <w:spacing w:line="360" w:lineRule="auto"/>
        <w:jc w:val="left"/>
        <w:rPr>
          <w:rFonts w:ascii="Times New Roman" w:hAnsi="Times New Roman" w:eastAsia="Times New Roman" w:cs="Times New Roman"/>
          <w:kern w:val="0"/>
          <w:sz w:val="24"/>
          <w:u w:val="none" w:color="auto"/>
        </w:rPr>
      </w:pPr>
      <w:r>
        <w:rPr>
          <w:rFonts w:ascii="Calibri" w:hAnsi="Calibri" w:eastAsia="Calibri" w:cs="Calibri"/>
          <w:b/>
          <w:bCs/>
          <w:kern w:val="0"/>
          <w:sz w:val="27"/>
          <w:szCs w:val="27"/>
          <w:u w:val="none" w:color="auto"/>
        </w:rPr>
        <w:t> </w:t>
      </w:r>
      <w:r>
        <w:rPr>
          <w:rFonts w:ascii="黑体" w:hAnsi="黑体" w:eastAsia="黑体" w:cs="黑体"/>
          <w:b/>
          <w:bCs/>
          <w:kern w:val="0"/>
          <w:sz w:val="27"/>
          <w:szCs w:val="27"/>
          <w:u w:val="none" w:color="auto"/>
        </w:rPr>
        <w:t xml:space="preserve"> </w:t>
      </w:r>
      <w:r>
        <w:rPr>
          <w:rFonts w:hint="eastAsia" w:ascii="黑体" w:hAnsi="黑体" w:eastAsia="黑体" w:cs="Times New Roman"/>
          <w:b/>
          <w:color w:val="auto"/>
          <w:kern w:val="2"/>
          <w:sz w:val="32"/>
          <w:szCs w:val="32"/>
          <w:u w:val="none" w:color="auto"/>
          <w:lang w:val="en-US" w:eastAsia="zh-CN"/>
        </w:rPr>
        <w:t>   四、财政拨款收入支出决算总体情况说明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kern w:val="0"/>
          <w:sz w:val="32"/>
          <w:szCs w:val="32"/>
          <w:u w:val="none" w:color="auto"/>
        </w:rPr>
      </w:pPr>
      <w:r>
        <w:rPr>
          <w:rFonts w:hint="eastAsia" w:ascii="仿宋_GB2312" w:hAnsi="仿宋_GB2312" w:eastAsia="仿宋_GB2312" w:cs="仿宋_GB2312"/>
          <w:color w:val="000000"/>
          <w:kern w:val="0"/>
          <w:sz w:val="32"/>
          <w:szCs w:val="32"/>
          <w:u w:val="none" w:color="auto"/>
        </w:rPr>
        <w:t>中共磴口县委员会机构编制委员会办公室（部门） 2024年度财政拨款收入、支出决算总计均为 287.83万元，与年初预算相比，收、支总计各增加 72.1</w:t>
      </w:r>
      <w:r>
        <w:rPr>
          <w:rFonts w:hint="eastAsia" w:ascii="仿宋_GB2312" w:hAnsi="仿宋_GB2312" w:eastAsia="仿宋_GB2312" w:cs="仿宋_GB2312"/>
          <w:color w:val="000000"/>
          <w:kern w:val="0"/>
          <w:sz w:val="32"/>
          <w:szCs w:val="32"/>
          <w:u w:val="none" w:color="auto"/>
          <w:lang w:val="en-US" w:eastAsia="zh-CN"/>
        </w:rPr>
        <w:t>4</w:t>
      </w:r>
      <w:r>
        <w:rPr>
          <w:rFonts w:hint="eastAsia" w:ascii="仿宋_GB2312" w:hAnsi="仿宋_GB2312" w:eastAsia="仿宋_GB2312" w:cs="仿宋_GB2312"/>
          <w:color w:val="000000"/>
          <w:kern w:val="0"/>
          <w:sz w:val="32"/>
          <w:szCs w:val="32"/>
          <w:u w:val="none" w:color="auto"/>
        </w:rPr>
        <w:t>万元，增长33.45%，变动原因：</w:t>
      </w:r>
      <w:r>
        <w:rPr>
          <w:rFonts w:hint="eastAsia" w:ascii="仿宋_GB2312" w:hAnsi="仿宋_GB2312" w:eastAsia="仿宋_GB2312" w:cs="仿宋_GB2312"/>
          <w:color w:val="000000"/>
          <w:kern w:val="0"/>
          <w:sz w:val="32"/>
          <w:szCs w:val="32"/>
          <w:u w:val="none" w:color="auto"/>
          <w:lang w:val="en-US" w:eastAsia="zh-CN"/>
        </w:rPr>
        <w:t>2024年人员变动、工资调整及项目经费增加导致收入增加</w:t>
      </w:r>
      <w:r>
        <w:rPr>
          <w:rFonts w:hint="eastAsia" w:ascii="仿宋_GB2312" w:hAnsi="仿宋_GB2312" w:eastAsia="仿宋_GB2312" w:cs="仿宋_GB2312"/>
          <w:color w:val="000000"/>
          <w:kern w:val="0"/>
          <w:sz w:val="32"/>
          <w:szCs w:val="32"/>
          <w:u w:val="none" w:color="auto"/>
        </w:rPr>
        <w:t>；与上年决算相比，收、支总计各增加 64.34万元，增长28.79%，变动原因：</w:t>
      </w:r>
      <w:r>
        <w:rPr>
          <w:rFonts w:hint="eastAsia" w:ascii="仿宋_GB2312" w:hAnsi="仿宋_GB2312" w:eastAsia="仿宋_GB2312" w:cs="仿宋_GB2312"/>
          <w:color w:val="000000"/>
          <w:kern w:val="0"/>
          <w:sz w:val="32"/>
          <w:szCs w:val="32"/>
          <w:u w:val="none" w:color="auto"/>
          <w:lang w:val="en-US" w:eastAsia="zh-CN"/>
        </w:rPr>
        <w:t>2024年人员变动、工资调整及项目经费增加导致收入增加</w:t>
      </w:r>
      <w:r>
        <w:rPr>
          <w:rFonts w:hint="eastAsia" w:ascii="仿宋_GB2312" w:hAnsi="仿宋_GB2312" w:eastAsia="仿宋_GB2312" w:cs="仿宋_GB2312"/>
          <w:color w:val="000000"/>
          <w:kern w:val="0"/>
          <w:sz w:val="32"/>
          <w:szCs w:val="32"/>
          <w:u w:val="none" w:color="auto"/>
        </w:rPr>
        <w:t>。</w:t>
      </w:r>
    </w:p>
    <w:p>
      <w:pPr>
        <w:keepNext w:val="0"/>
        <w:keepLines w:val="0"/>
        <w:pageBreakBefore w:val="0"/>
        <w:widowControl/>
        <w:wordWrap/>
        <w:overflowPunct/>
        <w:topLinePunct w:val="0"/>
        <w:bidi w:val="0"/>
        <w:spacing w:line="360" w:lineRule="auto"/>
        <w:jc w:val="left"/>
        <w:rPr>
          <w:rFonts w:ascii="Times New Roman" w:hAnsi="Times New Roman" w:eastAsia="Times New Roman" w:cs="Times New Roman"/>
          <w:kern w:val="0"/>
          <w:sz w:val="24"/>
          <w:u w:val="none" w:color="auto"/>
        </w:rPr>
      </w:pPr>
      <w:r>
        <w:rPr>
          <w:rFonts w:ascii="Calibri" w:hAnsi="Calibri" w:eastAsia="Calibri" w:cs="Calibri"/>
          <w:b/>
          <w:bCs/>
          <w:kern w:val="0"/>
          <w:sz w:val="27"/>
          <w:szCs w:val="27"/>
          <w:u w:val="none" w:color="auto"/>
        </w:rPr>
        <w:t> </w:t>
      </w:r>
      <w:r>
        <w:rPr>
          <w:rFonts w:ascii="黑体" w:hAnsi="黑体" w:eastAsia="黑体" w:cs="黑体"/>
          <w:b/>
          <w:bCs/>
          <w:kern w:val="0"/>
          <w:sz w:val="27"/>
          <w:szCs w:val="27"/>
          <w:u w:val="none" w:color="auto"/>
        </w:rPr>
        <w:t xml:space="preserve"> </w:t>
      </w:r>
      <w:r>
        <w:rPr>
          <w:rFonts w:ascii="Calibri" w:hAnsi="Calibri" w:eastAsia="Calibri" w:cs="Calibri"/>
          <w:b/>
          <w:bCs/>
          <w:kern w:val="0"/>
          <w:sz w:val="27"/>
          <w:szCs w:val="27"/>
          <w:u w:val="none" w:color="auto"/>
        </w:rPr>
        <w:t> </w:t>
      </w:r>
      <w:r>
        <w:rPr>
          <w:rFonts w:hint="eastAsia" w:ascii="黑体" w:hAnsi="黑体" w:eastAsia="黑体" w:cs="Times New Roman"/>
          <w:b/>
          <w:color w:val="auto"/>
          <w:kern w:val="2"/>
          <w:sz w:val="32"/>
          <w:szCs w:val="32"/>
          <w:u w:val="none" w:color="auto"/>
          <w:lang w:val="en-US" w:eastAsia="zh-CN"/>
        </w:rPr>
        <w:t xml:space="preserve">  五、一般公共预算财政拨款支出决算情况说明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kern w:val="0"/>
          <w:sz w:val="32"/>
          <w:szCs w:val="32"/>
          <w:u w:val="none" w:color="auto"/>
        </w:rPr>
      </w:pPr>
      <w:r>
        <w:rPr>
          <w:rFonts w:hint="eastAsia" w:ascii="仿宋_GB2312" w:hAnsi="仿宋_GB2312" w:eastAsia="仿宋_GB2312" w:cs="仿宋_GB2312"/>
          <w:color w:val="000000"/>
          <w:kern w:val="0"/>
          <w:sz w:val="32"/>
          <w:szCs w:val="32"/>
          <w:u w:val="none" w:color="auto"/>
        </w:rPr>
        <w:t>中共磴口县委员会机构编制委员会办公室（部门） 2024年度一般公共预算财政拨款支出决算 287.83万元。与年初预算215.69万元相比，完成年初预算的133.45%。其中：</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Times New Roman"/>
          <w:b/>
          <w:color w:val="auto"/>
          <w:kern w:val="2"/>
          <w:sz w:val="32"/>
          <w:szCs w:val="22"/>
          <w:u w:val="none" w:color="auto"/>
        </w:rPr>
      </w:pPr>
      <w:r>
        <w:rPr>
          <w:rFonts w:ascii="kai_ti_gb2312" w:hAnsi="kai_ti_gb2312" w:eastAsia="kai_ti_gb2312" w:cs="kai_ti_gb2312"/>
          <w:b/>
          <w:bCs/>
          <w:color w:val="000000"/>
          <w:kern w:val="0"/>
          <w:sz w:val="27"/>
          <w:szCs w:val="27"/>
          <w:u w:val="none" w:color="auto"/>
        </w:rPr>
        <w:t xml:space="preserve">  </w:t>
      </w:r>
      <w:r>
        <w:rPr>
          <w:rFonts w:hint="eastAsia" w:ascii="楷体" w:hAnsi="楷体" w:eastAsia="楷体" w:cs="Times New Roman"/>
          <w:b/>
          <w:color w:val="auto"/>
          <w:kern w:val="2"/>
          <w:sz w:val="32"/>
          <w:szCs w:val="22"/>
          <w:u w:val="none" w:color="auto"/>
        </w:rPr>
        <w:t>  （一）一般公共服务（类）</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kern w:val="0"/>
          <w:sz w:val="32"/>
          <w:szCs w:val="32"/>
          <w:u w:val="none" w:color="auto"/>
        </w:rPr>
      </w:pPr>
      <w:r>
        <w:rPr>
          <w:rFonts w:hint="eastAsia" w:ascii="仿宋_GB2312" w:hAnsi="仿宋_GB2312" w:eastAsia="仿宋_GB2312" w:cs="仿宋_GB2312"/>
          <w:color w:val="000000"/>
          <w:kern w:val="0"/>
          <w:sz w:val="32"/>
          <w:szCs w:val="32"/>
          <w:u w:val="none" w:color="auto"/>
        </w:rPr>
        <w:t>一般公共服务（类）决算数为 220.57万元，与年初预算相比增加</w:t>
      </w:r>
      <w:r>
        <w:rPr>
          <w:rFonts w:hint="eastAsia" w:ascii="仿宋_GB2312" w:hAnsi="仿宋_GB2312" w:eastAsia="仿宋_GB2312" w:cs="仿宋_GB2312"/>
          <w:color w:val="000000"/>
          <w:kern w:val="0"/>
          <w:sz w:val="32"/>
          <w:szCs w:val="32"/>
          <w:u w:val="none" w:color="auto"/>
          <w:lang w:val="en-US" w:eastAsia="zh-CN"/>
        </w:rPr>
        <w:t>57</w:t>
      </w:r>
      <w:r>
        <w:rPr>
          <w:rFonts w:hint="eastAsia" w:ascii="仿宋_GB2312" w:hAnsi="仿宋_GB2312" w:eastAsia="仿宋_GB2312" w:cs="仿宋_GB2312"/>
          <w:b w:val="0"/>
          <w:bCs w:val="0"/>
          <w:color w:val="000000"/>
          <w:kern w:val="0"/>
          <w:sz w:val="32"/>
          <w:szCs w:val="32"/>
          <w:u w:val="none" w:color="auto"/>
          <w:lang w:val="en-US" w:eastAsia="zh-CN"/>
        </w:rPr>
        <w:t>.47</w:t>
      </w:r>
      <w:r>
        <w:rPr>
          <w:rFonts w:hint="eastAsia" w:ascii="仿宋_GB2312" w:hAnsi="仿宋_GB2312" w:eastAsia="仿宋_GB2312" w:cs="仿宋_GB2312"/>
          <w:color w:val="000000"/>
          <w:kern w:val="0"/>
          <w:sz w:val="32"/>
          <w:szCs w:val="32"/>
          <w:u w:val="none" w:color="auto"/>
        </w:rPr>
        <w:t>万元。其中：</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kern w:val="0"/>
          <w:sz w:val="32"/>
          <w:szCs w:val="32"/>
          <w:u w:val="none" w:color="auto"/>
        </w:rPr>
      </w:pPr>
      <w:r>
        <w:rPr>
          <w:rFonts w:hint="eastAsia" w:ascii="仿宋_GB2312" w:hAnsi="仿宋_GB2312" w:eastAsia="仿宋_GB2312" w:cs="仿宋_GB2312"/>
          <w:color w:val="000000"/>
          <w:kern w:val="0"/>
          <w:sz w:val="32"/>
          <w:szCs w:val="32"/>
          <w:u w:val="none" w:color="auto"/>
        </w:rPr>
        <w:t>1</w:t>
      </w:r>
      <w:r>
        <w:rPr>
          <w:rFonts w:hint="eastAsia" w:ascii="仿宋_GB2312" w:hAnsi="仿宋_GB2312" w:eastAsia="仿宋_GB2312" w:cs="仿宋_GB2312"/>
          <w:color w:val="000000"/>
          <w:kern w:val="0"/>
          <w:sz w:val="32"/>
          <w:szCs w:val="32"/>
          <w:u w:val="none" w:color="auto"/>
          <w:lang w:eastAsia="zh-CN"/>
        </w:rPr>
        <w:t>、党委</w:t>
      </w:r>
      <w:r>
        <w:rPr>
          <w:rFonts w:hint="eastAsia" w:ascii="仿宋_GB2312" w:hAnsi="仿宋_GB2312" w:eastAsia="仿宋_GB2312" w:cs="仿宋_GB2312"/>
          <w:color w:val="000000"/>
          <w:kern w:val="0"/>
          <w:sz w:val="32"/>
          <w:szCs w:val="32"/>
          <w:u w:val="none" w:color="auto"/>
          <w:lang w:val="en-US" w:eastAsia="zh-CN"/>
        </w:rPr>
        <w:t>办公厅（室）及相关机构事务（款）</w:t>
      </w:r>
      <w:r>
        <w:rPr>
          <w:rFonts w:hint="eastAsia" w:ascii="仿宋_GB2312" w:hAnsi="仿宋_GB2312" w:eastAsia="仿宋_GB2312" w:cs="仿宋_GB2312"/>
          <w:color w:val="000000"/>
          <w:kern w:val="0"/>
          <w:sz w:val="32"/>
          <w:szCs w:val="32"/>
          <w:u w:val="none" w:color="auto"/>
        </w:rPr>
        <w:t>行政运行（项）。年初预算</w:t>
      </w:r>
      <w:r>
        <w:rPr>
          <w:rFonts w:hint="eastAsia" w:ascii="仿宋_GB2312" w:hAnsi="仿宋_GB2312" w:eastAsia="仿宋_GB2312" w:cs="仿宋_GB2312"/>
          <w:color w:val="000000"/>
          <w:kern w:val="0"/>
          <w:sz w:val="32"/>
          <w:szCs w:val="32"/>
          <w:u w:val="none" w:color="auto"/>
          <w:lang w:val="en-US" w:eastAsia="zh-CN"/>
        </w:rPr>
        <w:t>163.10</w:t>
      </w:r>
      <w:r>
        <w:rPr>
          <w:rFonts w:hint="eastAsia" w:ascii="仿宋_GB2312" w:hAnsi="仿宋_GB2312" w:eastAsia="仿宋_GB2312" w:cs="仿宋_GB2312"/>
          <w:color w:val="000000"/>
          <w:kern w:val="0"/>
          <w:sz w:val="32"/>
          <w:szCs w:val="32"/>
          <w:u w:val="none" w:color="auto"/>
        </w:rPr>
        <w:t>万元，支出决算</w:t>
      </w:r>
      <w:r>
        <w:rPr>
          <w:rFonts w:hint="eastAsia" w:ascii="仿宋_GB2312" w:hAnsi="仿宋_GB2312" w:eastAsia="仿宋_GB2312" w:cs="仿宋_GB2312"/>
          <w:color w:val="000000"/>
          <w:kern w:val="0"/>
          <w:sz w:val="32"/>
          <w:szCs w:val="32"/>
          <w:u w:val="none" w:color="auto"/>
          <w:lang w:val="en-US" w:eastAsia="zh-CN"/>
        </w:rPr>
        <w:t>220.57</w:t>
      </w:r>
      <w:r>
        <w:rPr>
          <w:rFonts w:hint="eastAsia" w:ascii="仿宋_GB2312" w:hAnsi="仿宋_GB2312" w:eastAsia="仿宋_GB2312" w:cs="仿宋_GB2312"/>
          <w:color w:val="000000"/>
          <w:kern w:val="0"/>
          <w:sz w:val="32"/>
          <w:szCs w:val="32"/>
          <w:u w:val="none" w:color="auto"/>
        </w:rPr>
        <w:t>万元，完成年初预算的</w:t>
      </w:r>
      <w:r>
        <w:rPr>
          <w:rFonts w:hint="eastAsia" w:ascii="仿宋_GB2312" w:hAnsi="仿宋_GB2312" w:eastAsia="仿宋_GB2312" w:cs="仿宋_GB2312"/>
          <w:color w:val="000000"/>
          <w:kern w:val="0"/>
          <w:sz w:val="32"/>
          <w:szCs w:val="32"/>
          <w:u w:val="none" w:color="auto"/>
          <w:lang w:val="en-US" w:eastAsia="zh-CN"/>
        </w:rPr>
        <w:t>135.24</w:t>
      </w:r>
      <w:r>
        <w:rPr>
          <w:rFonts w:hint="eastAsia" w:ascii="仿宋_GB2312" w:hAnsi="仿宋_GB2312" w:eastAsia="仿宋_GB2312" w:cs="仿宋_GB2312"/>
          <w:color w:val="000000"/>
          <w:kern w:val="0"/>
          <w:sz w:val="32"/>
          <w:szCs w:val="32"/>
          <w:u w:val="none" w:color="auto"/>
        </w:rPr>
        <w:t>%。决算数与年初预算数的差异原因：</w:t>
      </w:r>
      <w:r>
        <w:rPr>
          <w:rFonts w:hint="eastAsia" w:ascii="仿宋_GB2312" w:hAnsi="仿宋_GB2312" w:eastAsia="仿宋_GB2312" w:cs="仿宋_GB2312"/>
          <w:color w:val="000000"/>
          <w:kern w:val="0"/>
          <w:sz w:val="32"/>
          <w:szCs w:val="32"/>
          <w:u w:val="none" w:color="auto"/>
          <w:lang w:val="en-US" w:eastAsia="zh-CN"/>
        </w:rPr>
        <w:t>2024年人员变动、工资调整及项目经费增加导致支出增加</w:t>
      </w:r>
      <w:r>
        <w:rPr>
          <w:rFonts w:hint="eastAsia" w:ascii="仿宋_GB2312" w:hAnsi="仿宋_GB2312" w:eastAsia="仿宋_GB2312" w:cs="仿宋_GB2312"/>
          <w:color w:val="000000"/>
          <w:kern w:val="0"/>
          <w:sz w:val="32"/>
          <w:szCs w:val="32"/>
          <w:u w:val="none" w:color="auto"/>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楷体" w:hAnsi="楷体" w:eastAsia="楷体" w:cs="Times New Roman"/>
          <w:b/>
          <w:color w:val="auto"/>
          <w:kern w:val="2"/>
          <w:sz w:val="32"/>
          <w:szCs w:val="22"/>
          <w:u w:val="none" w:color="auto"/>
        </w:rPr>
      </w:pPr>
      <w:r>
        <w:rPr>
          <w:rFonts w:ascii="kai_ti_gb2312" w:hAnsi="kai_ti_gb2312" w:eastAsia="kai_ti_gb2312" w:cs="kai_ti_gb2312"/>
          <w:b/>
          <w:bCs/>
          <w:color w:val="000000"/>
          <w:kern w:val="0"/>
          <w:sz w:val="27"/>
          <w:szCs w:val="27"/>
          <w:u w:val="none" w:color="auto"/>
        </w:rPr>
        <w:t xml:space="preserve">    </w:t>
      </w:r>
      <w:r>
        <w:rPr>
          <w:rFonts w:hint="eastAsia" w:ascii="楷体" w:hAnsi="楷体" w:eastAsia="楷体" w:cs="Times New Roman"/>
          <w:b/>
          <w:color w:val="auto"/>
          <w:kern w:val="2"/>
          <w:sz w:val="32"/>
          <w:szCs w:val="22"/>
          <w:u w:val="none" w:color="auto"/>
        </w:rPr>
        <w:t>（二）社会保障和就业支出（类）</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000000"/>
          <w:kern w:val="0"/>
          <w:sz w:val="32"/>
          <w:szCs w:val="32"/>
          <w:u w:val="none" w:color="auto"/>
        </w:rPr>
      </w:pPr>
      <w:r>
        <w:rPr>
          <w:rFonts w:hint="eastAsia" w:ascii="仿宋_GB2312" w:hAnsi="仿宋_GB2312" w:eastAsia="仿宋_GB2312" w:cs="仿宋_GB2312"/>
          <w:color w:val="000000"/>
          <w:kern w:val="0"/>
          <w:sz w:val="32"/>
          <w:szCs w:val="32"/>
          <w:u w:val="none" w:color="auto"/>
        </w:rPr>
        <w:t>社会保障和就业支出（类）决算数为 41.06万元，与年初预算相比增加</w:t>
      </w:r>
      <w:r>
        <w:rPr>
          <w:rFonts w:hint="eastAsia" w:ascii="仿宋_GB2312" w:hAnsi="仿宋_GB2312" w:eastAsia="仿宋_GB2312" w:cs="仿宋_GB2312"/>
          <w:color w:val="000000"/>
          <w:kern w:val="0"/>
          <w:sz w:val="32"/>
          <w:szCs w:val="32"/>
          <w:u w:val="none" w:color="auto"/>
          <w:lang w:val="en-US" w:eastAsia="zh-CN"/>
        </w:rPr>
        <w:t>19.36</w:t>
      </w:r>
      <w:r>
        <w:rPr>
          <w:rFonts w:hint="eastAsia" w:ascii="仿宋_GB2312" w:hAnsi="仿宋_GB2312" w:eastAsia="仿宋_GB2312" w:cs="仿宋_GB2312"/>
          <w:color w:val="000000"/>
          <w:kern w:val="0"/>
          <w:sz w:val="32"/>
          <w:szCs w:val="32"/>
          <w:u w:val="none" w:color="auto"/>
        </w:rPr>
        <w:t>万元。其中：</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kern w:val="0"/>
          <w:sz w:val="32"/>
          <w:szCs w:val="32"/>
          <w:u w:val="none" w:color="auto"/>
        </w:rPr>
      </w:pPr>
      <w:r>
        <w:rPr>
          <w:rFonts w:hint="eastAsia" w:ascii="仿宋_GB2312" w:hAnsi="仿宋_GB2312" w:eastAsia="仿宋_GB2312" w:cs="仿宋_GB2312"/>
          <w:color w:val="000000"/>
          <w:kern w:val="0"/>
          <w:sz w:val="32"/>
          <w:szCs w:val="32"/>
          <w:u w:val="none" w:color="auto"/>
        </w:rPr>
        <w:t>1</w:t>
      </w:r>
      <w:r>
        <w:rPr>
          <w:rFonts w:hint="eastAsia" w:ascii="仿宋_GB2312" w:hAnsi="仿宋_GB2312" w:eastAsia="仿宋_GB2312" w:cs="仿宋_GB2312"/>
          <w:color w:val="000000"/>
          <w:kern w:val="0"/>
          <w:sz w:val="32"/>
          <w:szCs w:val="32"/>
          <w:u w:val="none" w:color="auto"/>
          <w:lang w:eastAsia="zh-CN"/>
        </w:rPr>
        <w:t>、</w:t>
      </w:r>
      <w:r>
        <w:rPr>
          <w:rFonts w:hint="eastAsia" w:ascii="仿宋_GB2312" w:hAnsi="仿宋_GB2312" w:eastAsia="仿宋_GB2312" w:cs="仿宋_GB2312"/>
          <w:color w:val="000000"/>
          <w:kern w:val="0"/>
          <w:sz w:val="32"/>
          <w:szCs w:val="32"/>
          <w:u w:val="none" w:color="auto"/>
        </w:rPr>
        <w:t>行政事业单位养老支出（款）行政单位离退休（项）。年初预算</w:t>
      </w:r>
      <w:r>
        <w:rPr>
          <w:rFonts w:hint="eastAsia" w:ascii="仿宋_GB2312" w:hAnsi="仿宋_GB2312" w:eastAsia="仿宋_GB2312" w:cs="仿宋_GB2312"/>
          <w:color w:val="000000"/>
          <w:kern w:val="0"/>
          <w:sz w:val="32"/>
          <w:szCs w:val="32"/>
          <w:u w:val="none" w:color="auto"/>
          <w:lang w:val="en-US" w:eastAsia="zh-CN"/>
        </w:rPr>
        <w:t>2.46</w:t>
      </w:r>
      <w:r>
        <w:rPr>
          <w:rFonts w:hint="eastAsia" w:ascii="仿宋_GB2312" w:hAnsi="仿宋_GB2312" w:eastAsia="仿宋_GB2312" w:cs="仿宋_GB2312"/>
          <w:color w:val="000000"/>
          <w:kern w:val="0"/>
          <w:sz w:val="32"/>
          <w:szCs w:val="32"/>
          <w:u w:val="none" w:color="auto"/>
        </w:rPr>
        <w:t>万元，支出决算</w:t>
      </w:r>
      <w:r>
        <w:rPr>
          <w:rFonts w:hint="eastAsia" w:ascii="仿宋_GB2312" w:hAnsi="仿宋_GB2312" w:eastAsia="仿宋_GB2312" w:cs="仿宋_GB2312"/>
          <w:color w:val="000000"/>
          <w:kern w:val="0"/>
          <w:sz w:val="32"/>
          <w:szCs w:val="32"/>
          <w:u w:val="none" w:color="auto"/>
          <w:lang w:val="en-US" w:eastAsia="zh-CN"/>
        </w:rPr>
        <w:t>2.46</w:t>
      </w:r>
      <w:r>
        <w:rPr>
          <w:rFonts w:hint="eastAsia" w:ascii="仿宋_GB2312" w:hAnsi="仿宋_GB2312" w:eastAsia="仿宋_GB2312" w:cs="仿宋_GB2312"/>
          <w:color w:val="000000"/>
          <w:kern w:val="0"/>
          <w:sz w:val="32"/>
          <w:szCs w:val="32"/>
          <w:u w:val="none" w:color="auto"/>
        </w:rPr>
        <w:t>万元，完成年初预算的</w:t>
      </w:r>
      <w:r>
        <w:rPr>
          <w:rFonts w:hint="eastAsia" w:ascii="仿宋_GB2312" w:hAnsi="仿宋_GB2312" w:eastAsia="仿宋_GB2312" w:cs="仿宋_GB2312"/>
          <w:color w:val="000000"/>
          <w:kern w:val="0"/>
          <w:sz w:val="32"/>
          <w:szCs w:val="32"/>
          <w:u w:val="none" w:color="auto"/>
          <w:lang w:val="en-US" w:eastAsia="zh-CN"/>
        </w:rPr>
        <w:t>100</w:t>
      </w:r>
      <w:r>
        <w:rPr>
          <w:rFonts w:hint="eastAsia" w:ascii="仿宋_GB2312" w:hAnsi="仿宋_GB2312" w:eastAsia="仿宋_GB2312" w:cs="仿宋_GB2312"/>
          <w:color w:val="000000"/>
          <w:kern w:val="0"/>
          <w:sz w:val="32"/>
          <w:szCs w:val="32"/>
          <w:u w:val="none" w:color="auto"/>
        </w:rPr>
        <w:t>%。决算数与年初预算数的差异原因：</w:t>
      </w:r>
      <w:r>
        <w:rPr>
          <w:rFonts w:hint="eastAsia" w:ascii="仿宋_GB2312" w:hAnsi="仿宋_GB2312" w:eastAsia="仿宋_GB2312" w:cs="仿宋_GB2312"/>
          <w:color w:val="auto"/>
          <w:kern w:val="2"/>
          <w:sz w:val="32"/>
          <w:szCs w:val="32"/>
          <w:u w:val="none" w:color="auto"/>
          <w:lang w:eastAsia="zh-CN"/>
        </w:rPr>
        <w:t>与上年相比无增减变化</w:t>
      </w:r>
      <w:r>
        <w:rPr>
          <w:rFonts w:hint="eastAsia" w:ascii="仿宋_GB2312" w:hAnsi="仿宋_GB2312" w:eastAsia="仿宋_GB2312" w:cs="仿宋_GB2312"/>
          <w:color w:val="000000"/>
          <w:kern w:val="0"/>
          <w:sz w:val="32"/>
          <w:szCs w:val="32"/>
          <w:u w:val="none" w:color="auto"/>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2"/>
          <w:sz w:val="32"/>
          <w:szCs w:val="32"/>
          <w:u w:val="none" w:color="auto"/>
        </w:rPr>
      </w:pPr>
      <w:r>
        <w:rPr>
          <w:rFonts w:hint="eastAsia" w:ascii="仿宋_GB2312" w:hAnsi="仿宋_GB2312" w:eastAsia="仿宋_GB2312" w:cs="仿宋_GB2312"/>
          <w:color w:val="000000"/>
          <w:kern w:val="0"/>
          <w:sz w:val="32"/>
          <w:szCs w:val="32"/>
          <w:u w:val="none" w:color="auto"/>
          <w:lang w:val="en-US" w:eastAsia="zh-CN"/>
        </w:rPr>
        <w:t>2、</w:t>
      </w:r>
      <w:r>
        <w:rPr>
          <w:rFonts w:hint="eastAsia" w:ascii="仿宋_GB2312" w:hAnsi="仿宋_GB2312" w:eastAsia="仿宋_GB2312" w:cs="仿宋_GB2312"/>
          <w:color w:val="000000"/>
          <w:kern w:val="0"/>
          <w:sz w:val="32"/>
          <w:szCs w:val="32"/>
          <w:u w:val="none" w:color="auto"/>
        </w:rPr>
        <w:t>行政事业单位养老支出（款）机关事业单位基本养老保险缴费支出（项）。年初预算</w:t>
      </w:r>
      <w:r>
        <w:rPr>
          <w:rFonts w:hint="eastAsia" w:ascii="仿宋_GB2312" w:hAnsi="仿宋_GB2312" w:eastAsia="仿宋_GB2312" w:cs="仿宋_GB2312"/>
          <w:color w:val="000000"/>
          <w:kern w:val="0"/>
          <w:sz w:val="32"/>
          <w:szCs w:val="32"/>
          <w:u w:val="none" w:color="auto"/>
          <w:lang w:val="en-US" w:eastAsia="zh-CN"/>
        </w:rPr>
        <w:t>18.68</w:t>
      </w:r>
      <w:r>
        <w:rPr>
          <w:rFonts w:hint="eastAsia" w:ascii="仿宋_GB2312" w:hAnsi="仿宋_GB2312" w:eastAsia="仿宋_GB2312" w:cs="仿宋_GB2312"/>
          <w:color w:val="000000"/>
          <w:kern w:val="0"/>
          <w:sz w:val="32"/>
          <w:szCs w:val="32"/>
          <w:u w:val="none" w:color="auto"/>
        </w:rPr>
        <w:t>万元，支出决算</w:t>
      </w:r>
      <w:r>
        <w:rPr>
          <w:rFonts w:hint="eastAsia" w:ascii="仿宋_GB2312" w:hAnsi="仿宋_GB2312" w:eastAsia="仿宋_GB2312" w:cs="仿宋_GB2312"/>
          <w:color w:val="000000"/>
          <w:kern w:val="0"/>
          <w:sz w:val="32"/>
          <w:szCs w:val="32"/>
          <w:u w:val="none" w:color="auto"/>
          <w:lang w:val="en-US" w:eastAsia="zh-CN"/>
        </w:rPr>
        <w:t>18.07</w:t>
      </w:r>
      <w:r>
        <w:rPr>
          <w:rFonts w:hint="eastAsia" w:ascii="仿宋_GB2312" w:hAnsi="仿宋_GB2312" w:eastAsia="仿宋_GB2312" w:cs="仿宋_GB2312"/>
          <w:color w:val="000000"/>
          <w:kern w:val="0"/>
          <w:sz w:val="32"/>
          <w:szCs w:val="32"/>
          <w:u w:val="none" w:color="auto"/>
        </w:rPr>
        <w:t>万元，完成年初预算的</w:t>
      </w:r>
      <w:r>
        <w:rPr>
          <w:rFonts w:hint="eastAsia" w:ascii="仿宋_GB2312" w:hAnsi="仿宋_GB2312" w:eastAsia="仿宋_GB2312" w:cs="仿宋_GB2312"/>
          <w:color w:val="000000"/>
          <w:kern w:val="0"/>
          <w:sz w:val="32"/>
          <w:szCs w:val="32"/>
          <w:u w:val="none" w:color="auto"/>
          <w:lang w:val="en-US" w:eastAsia="zh-CN"/>
        </w:rPr>
        <w:t>96.73</w:t>
      </w:r>
      <w:r>
        <w:rPr>
          <w:rFonts w:hint="eastAsia" w:ascii="仿宋_GB2312" w:hAnsi="仿宋_GB2312" w:eastAsia="仿宋_GB2312" w:cs="仿宋_GB2312"/>
          <w:color w:val="000000"/>
          <w:kern w:val="0"/>
          <w:sz w:val="32"/>
          <w:szCs w:val="32"/>
          <w:u w:val="none" w:color="auto"/>
        </w:rPr>
        <w:t>%。决算数与年初预算数的差异原因：</w:t>
      </w:r>
      <w:r>
        <w:rPr>
          <w:rFonts w:hint="eastAsia" w:ascii="仿宋_GB2312" w:hAnsi="仿宋_GB2312" w:eastAsia="仿宋_GB2312" w:cs="仿宋_GB2312"/>
          <w:color w:val="000000"/>
          <w:kern w:val="0"/>
          <w:sz w:val="32"/>
          <w:szCs w:val="32"/>
          <w:u w:val="none" w:color="auto"/>
          <w:lang w:val="en-US" w:eastAsia="zh-CN"/>
        </w:rPr>
        <w:t>2024年人员变动</w:t>
      </w:r>
      <w:r>
        <w:rPr>
          <w:rFonts w:hint="eastAsia" w:ascii="仿宋_GB2312" w:hAnsi="仿宋_GB2312" w:eastAsia="仿宋_GB2312" w:cs="仿宋_GB2312"/>
          <w:color w:val="auto"/>
          <w:kern w:val="2"/>
          <w:sz w:val="32"/>
          <w:szCs w:val="32"/>
          <w:u w:val="none" w:color="auto"/>
          <w:lang w:eastAsia="zh-CN"/>
        </w:rPr>
        <w:t>导致</w:t>
      </w:r>
      <w:r>
        <w:rPr>
          <w:rFonts w:hint="eastAsia" w:ascii="仿宋_GB2312" w:hAnsi="仿宋_GB2312" w:eastAsia="仿宋_GB2312" w:cs="仿宋_GB2312"/>
          <w:color w:val="auto"/>
          <w:kern w:val="2"/>
          <w:sz w:val="32"/>
          <w:szCs w:val="32"/>
          <w:u w:val="none" w:color="auto"/>
          <w:lang w:val="en-US" w:eastAsia="zh-CN"/>
        </w:rPr>
        <w:t>我</w:t>
      </w:r>
      <w:r>
        <w:rPr>
          <w:rFonts w:hint="eastAsia" w:ascii="仿宋_GB2312" w:hAnsi="仿宋_GB2312" w:eastAsia="仿宋_GB2312" w:cs="仿宋_GB2312"/>
          <w:color w:val="auto"/>
          <w:kern w:val="2"/>
          <w:sz w:val="32"/>
          <w:szCs w:val="32"/>
          <w:u w:val="none" w:color="auto"/>
          <w:lang w:eastAsia="zh-CN"/>
        </w:rPr>
        <w:t>单位基本养老保险缴费支出</w:t>
      </w:r>
      <w:r>
        <w:rPr>
          <w:rFonts w:hint="eastAsia" w:ascii="仿宋_GB2312" w:hAnsi="仿宋_GB2312" w:eastAsia="仿宋_GB2312" w:cs="仿宋_GB2312"/>
          <w:color w:val="auto"/>
          <w:kern w:val="2"/>
          <w:sz w:val="32"/>
          <w:szCs w:val="32"/>
          <w:u w:val="none" w:color="auto"/>
          <w:lang w:val="en-US" w:eastAsia="zh-CN"/>
        </w:rPr>
        <w:t>减少</w:t>
      </w:r>
      <w:r>
        <w:rPr>
          <w:rFonts w:hint="eastAsia" w:ascii="仿宋_GB2312" w:hAnsi="仿宋_GB2312" w:eastAsia="仿宋_GB2312" w:cs="仿宋_GB2312"/>
          <w:color w:val="auto"/>
          <w:kern w:val="2"/>
          <w:sz w:val="32"/>
          <w:szCs w:val="32"/>
          <w:u w:val="none" w:color="auto"/>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kern w:val="0"/>
          <w:sz w:val="24"/>
          <w:u w:val="none" w:color="auto"/>
        </w:rPr>
      </w:pPr>
      <w:r>
        <w:rPr>
          <w:rFonts w:hint="eastAsia" w:ascii="仿宋_GB2312" w:hAnsi="仿宋_GB2312" w:eastAsia="仿宋_GB2312" w:cs="仿宋_GB2312"/>
          <w:color w:val="000000"/>
          <w:kern w:val="0"/>
          <w:sz w:val="32"/>
          <w:szCs w:val="32"/>
          <w:u w:val="none" w:color="auto"/>
          <w:lang w:val="en-US" w:eastAsia="zh-CN"/>
        </w:rPr>
        <w:t>3、</w:t>
      </w:r>
      <w:r>
        <w:rPr>
          <w:rFonts w:hint="eastAsia" w:ascii="仿宋_GB2312" w:hAnsi="仿宋_GB2312" w:eastAsia="仿宋_GB2312" w:cs="仿宋_GB2312"/>
          <w:color w:val="000000"/>
          <w:kern w:val="0"/>
          <w:sz w:val="32"/>
          <w:szCs w:val="32"/>
          <w:u w:val="none" w:color="auto"/>
        </w:rPr>
        <w:t>行政事业单位养老支出（款）机关事业单位职业年金缴费支出（项）。年初预算</w:t>
      </w:r>
      <w:r>
        <w:rPr>
          <w:rFonts w:hint="eastAsia" w:ascii="仿宋_GB2312" w:hAnsi="仿宋_GB2312" w:eastAsia="仿宋_GB2312" w:cs="仿宋_GB2312"/>
          <w:color w:val="000000"/>
          <w:kern w:val="0"/>
          <w:sz w:val="32"/>
          <w:szCs w:val="32"/>
          <w:u w:val="none" w:color="auto"/>
          <w:lang w:val="en-US" w:eastAsia="zh-CN"/>
        </w:rPr>
        <w:t>0</w:t>
      </w:r>
      <w:r>
        <w:rPr>
          <w:rFonts w:hint="eastAsia" w:ascii="仿宋_GB2312" w:hAnsi="仿宋_GB2312" w:eastAsia="仿宋_GB2312" w:cs="仿宋_GB2312"/>
          <w:color w:val="000000"/>
          <w:kern w:val="0"/>
          <w:sz w:val="32"/>
          <w:szCs w:val="32"/>
          <w:u w:val="none" w:color="auto"/>
        </w:rPr>
        <w:t>万元，支出决算</w:t>
      </w:r>
      <w:r>
        <w:rPr>
          <w:rFonts w:hint="eastAsia" w:ascii="仿宋_GB2312" w:hAnsi="仿宋_GB2312" w:eastAsia="仿宋_GB2312" w:cs="仿宋_GB2312"/>
          <w:color w:val="000000"/>
          <w:kern w:val="0"/>
          <w:sz w:val="32"/>
          <w:szCs w:val="32"/>
          <w:u w:val="none" w:color="auto"/>
          <w:lang w:val="en-US" w:eastAsia="zh-CN"/>
        </w:rPr>
        <w:t>6.38</w:t>
      </w:r>
      <w:r>
        <w:rPr>
          <w:rFonts w:hint="eastAsia" w:ascii="仿宋_GB2312" w:hAnsi="仿宋_GB2312" w:eastAsia="仿宋_GB2312" w:cs="仿宋_GB2312"/>
          <w:color w:val="000000"/>
          <w:kern w:val="0"/>
          <w:sz w:val="32"/>
          <w:szCs w:val="32"/>
          <w:u w:val="none" w:color="auto"/>
        </w:rPr>
        <w:t>万元，完成年初预算的</w:t>
      </w:r>
      <w:r>
        <w:rPr>
          <w:rFonts w:hint="eastAsia" w:ascii="仿宋_GB2312" w:hAnsi="仿宋_GB2312" w:eastAsia="仿宋_GB2312" w:cs="仿宋_GB2312"/>
          <w:color w:val="000000"/>
          <w:kern w:val="0"/>
          <w:sz w:val="32"/>
          <w:szCs w:val="32"/>
          <w:u w:val="none" w:color="auto"/>
          <w:lang w:val="en-US" w:eastAsia="zh-CN"/>
        </w:rPr>
        <w:t>100</w:t>
      </w:r>
      <w:r>
        <w:rPr>
          <w:rFonts w:hint="eastAsia" w:ascii="仿宋_GB2312" w:hAnsi="仿宋_GB2312" w:eastAsia="仿宋_GB2312" w:cs="仿宋_GB2312"/>
          <w:color w:val="000000"/>
          <w:kern w:val="0"/>
          <w:sz w:val="32"/>
          <w:szCs w:val="32"/>
          <w:u w:val="none" w:color="auto"/>
        </w:rPr>
        <w:t>%。决算数与年初预算数的差异原因：</w:t>
      </w:r>
      <w:r>
        <w:rPr>
          <w:rFonts w:hint="eastAsia" w:ascii="仿宋_GB2312" w:hAnsi="仿宋_GB2312" w:eastAsia="仿宋_GB2312" w:cs="仿宋_GB2312"/>
          <w:color w:val="000000"/>
          <w:kern w:val="0"/>
          <w:sz w:val="32"/>
          <w:szCs w:val="32"/>
          <w:u w:val="none" w:color="auto"/>
          <w:lang w:val="en-US" w:eastAsia="zh-CN"/>
        </w:rPr>
        <w:t>我单位有1人在职去世导致</w:t>
      </w:r>
      <w:r>
        <w:rPr>
          <w:rFonts w:hint="eastAsia" w:ascii="仿宋_GB2312" w:hAnsi="仿宋_GB2312" w:eastAsia="仿宋_GB2312" w:cs="仿宋_GB2312"/>
          <w:color w:val="000000"/>
          <w:kern w:val="0"/>
          <w:sz w:val="32"/>
          <w:szCs w:val="32"/>
          <w:u w:val="none" w:color="auto"/>
        </w:rPr>
        <w:t>职业年金缴费支出</w:t>
      </w:r>
      <w:r>
        <w:rPr>
          <w:rFonts w:hint="eastAsia" w:ascii="仿宋_GB2312" w:hAnsi="仿宋_GB2312" w:eastAsia="仿宋_GB2312" w:cs="仿宋_GB2312"/>
          <w:color w:val="000000"/>
          <w:kern w:val="0"/>
          <w:sz w:val="32"/>
          <w:szCs w:val="32"/>
          <w:u w:val="none" w:color="auto"/>
          <w:lang w:val="en-US" w:eastAsia="zh-CN"/>
        </w:rPr>
        <w:t>增加</w:t>
      </w:r>
      <w:r>
        <w:rPr>
          <w:rFonts w:hint="eastAsia" w:ascii="仿宋_GB2312" w:hAnsi="仿宋_GB2312" w:eastAsia="仿宋_GB2312" w:cs="仿宋_GB2312"/>
          <w:color w:val="000000"/>
          <w:kern w:val="0"/>
          <w:sz w:val="32"/>
          <w:szCs w:val="32"/>
          <w:u w:val="none" w:color="auto"/>
        </w:rPr>
        <w:t>。</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Times New Roman"/>
          <w:b/>
          <w:color w:val="auto"/>
          <w:kern w:val="2"/>
          <w:sz w:val="32"/>
          <w:szCs w:val="22"/>
          <w:u w:val="none" w:color="auto"/>
        </w:rPr>
      </w:pPr>
      <w:r>
        <w:rPr>
          <w:rFonts w:ascii="kai_ti_gb2312" w:hAnsi="kai_ti_gb2312" w:eastAsia="kai_ti_gb2312" w:cs="kai_ti_gb2312"/>
          <w:b/>
          <w:bCs/>
          <w:color w:val="000000"/>
          <w:kern w:val="0"/>
          <w:sz w:val="27"/>
          <w:szCs w:val="27"/>
          <w:u w:val="none" w:color="auto"/>
        </w:rPr>
        <w:t xml:space="preserve">    </w:t>
      </w:r>
      <w:r>
        <w:rPr>
          <w:rFonts w:hint="eastAsia" w:ascii="楷体" w:hAnsi="楷体" w:eastAsia="楷体" w:cs="Times New Roman"/>
          <w:b/>
          <w:color w:val="auto"/>
          <w:kern w:val="2"/>
          <w:sz w:val="32"/>
          <w:szCs w:val="22"/>
          <w:u w:val="none" w:color="auto"/>
        </w:rPr>
        <w:t>（</w:t>
      </w:r>
      <w:r>
        <w:rPr>
          <w:rFonts w:hint="eastAsia" w:ascii="楷体" w:hAnsi="楷体" w:eastAsia="楷体" w:cs="Times New Roman"/>
          <w:b/>
          <w:color w:val="auto"/>
          <w:kern w:val="2"/>
          <w:sz w:val="32"/>
          <w:szCs w:val="22"/>
          <w:u w:val="none" w:color="auto"/>
          <w:lang w:val="en-US" w:eastAsia="zh-CN"/>
        </w:rPr>
        <w:t>三</w:t>
      </w:r>
      <w:r>
        <w:rPr>
          <w:rFonts w:hint="eastAsia" w:ascii="楷体" w:hAnsi="楷体" w:eastAsia="楷体" w:cs="Times New Roman"/>
          <w:b/>
          <w:color w:val="auto"/>
          <w:kern w:val="2"/>
          <w:sz w:val="32"/>
          <w:szCs w:val="22"/>
          <w:u w:val="none" w:color="auto"/>
        </w:rPr>
        <w:t>）卫生健康支出（类）</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kern w:val="0"/>
          <w:sz w:val="32"/>
          <w:szCs w:val="32"/>
          <w:u w:val="none" w:color="auto"/>
        </w:rPr>
      </w:pPr>
      <w:r>
        <w:rPr>
          <w:rFonts w:hint="eastAsia" w:ascii="仿宋_GB2312" w:hAnsi="仿宋_GB2312" w:eastAsia="仿宋_GB2312" w:cs="仿宋_GB2312"/>
          <w:color w:val="000000"/>
          <w:kern w:val="0"/>
          <w:sz w:val="32"/>
          <w:szCs w:val="32"/>
          <w:u w:val="none" w:color="auto"/>
        </w:rPr>
        <w:t>卫生健康支出（类）决算数为 7.91万元，与年初预算相</w:t>
      </w:r>
      <w:r>
        <w:rPr>
          <w:rFonts w:hint="eastAsia" w:ascii="仿宋_GB2312" w:hAnsi="仿宋_GB2312" w:eastAsia="仿宋_GB2312" w:cs="仿宋_GB2312"/>
          <w:color w:val="000000"/>
          <w:kern w:val="0"/>
          <w:sz w:val="32"/>
          <w:szCs w:val="32"/>
          <w:u w:val="none" w:color="auto"/>
          <w:lang w:val="en-US" w:eastAsia="zh-CN"/>
        </w:rPr>
        <w:t>比</w:t>
      </w:r>
      <w:r>
        <w:rPr>
          <w:rFonts w:hint="eastAsia" w:ascii="仿宋_GB2312" w:hAnsi="仿宋_GB2312" w:eastAsia="仿宋_GB2312" w:cs="仿宋_GB2312"/>
          <w:color w:val="000000"/>
          <w:kern w:val="0"/>
          <w:sz w:val="32"/>
          <w:szCs w:val="32"/>
          <w:u w:val="none" w:color="auto"/>
        </w:rPr>
        <w:t>减少4.03万元。其中：</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kern w:val="0"/>
          <w:sz w:val="32"/>
          <w:szCs w:val="32"/>
          <w:u w:val="none" w:color="auto"/>
        </w:rPr>
      </w:pPr>
      <w:r>
        <w:rPr>
          <w:rFonts w:hint="eastAsia" w:ascii="仿宋_GB2312" w:hAnsi="仿宋_GB2312" w:eastAsia="仿宋_GB2312" w:cs="仿宋_GB2312"/>
          <w:color w:val="000000"/>
          <w:kern w:val="0"/>
          <w:sz w:val="32"/>
          <w:szCs w:val="32"/>
          <w:u w:val="none" w:color="auto"/>
        </w:rPr>
        <w:t>1</w:t>
      </w:r>
      <w:r>
        <w:rPr>
          <w:rFonts w:hint="eastAsia" w:ascii="仿宋_GB2312" w:hAnsi="仿宋_GB2312" w:eastAsia="仿宋_GB2312" w:cs="仿宋_GB2312"/>
          <w:color w:val="000000"/>
          <w:kern w:val="0"/>
          <w:sz w:val="32"/>
          <w:szCs w:val="32"/>
          <w:u w:val="none" w:color="auto"/>
          <w:lang w:eastAsia="zh-CN"/>
        </w:rPr>
        <w:t>、</w:t>
      </w:r>
      <w:r>
        <w:rPr>
          <w:rFonts w:hint="eastAsia" w:ascii="仿宋_GB2312" w:hAnsi="仿宋_GB2312" w:eastAsia="仿宋_GB2312" w:cs="仿宋_GB2312"/>
          <w:color w:val="000000"/>
          <w:kern w:val="0"/>
          <w:sz w:val="32"/>
          <w:szCs w:val="32"/>
          <w:u w:val="none" w:color="auto"/>
        </w:rPr>
        <w:t>行政事业单位医疗（款）行政单位医疗（项）。年初预算</w:t>
      </w:r>
      <w:r>
        <w:rPr>
          <w:rFonts w:hint="eastAsia" w:ascii="仿宋_GB2312" w:hAnsi="仿宋_GB2312" w:eastAsia="仿宋_GB2312" w:cs="仿宋_GB2312"/>
          <w:color w:val="000000"/>
          <w:kern w:val="0"/>
          <w:sz w:val="32"/>
          <w:szCs w:val="32"/>
          <w:u w:val="none" w:color="auto"/>
          <w:lang w:val="en-US" w:eastAsia="zh-CN"/>
        </w:rPr>
        <w:t>11.94</w:t>
      </w:r>
      <w:r>
        <w:rPr>
          <w:rFonts w:hint="eastAsia" w:ascii="仿宋_GB2312" w:hAnsi="仿宋_GB2312" w:eastAsia="仿宋_GB2312" w:cs="仿宋_GB2312"/>
          <w:color w:val="000000"/>
          <w:kern w:val="0"/>
          <w:sz w:val="32"/>
          <w:szCs w:val="32"/>
          <w:u w:val="none" w:color="auto"/>
        </w:rPr>
        <w:t>万元，支出决算</w:t>
      </w:r>
      <w:r>
        <w:rPr>
          <w:rFonts w:hint="eastAsia" w:ascii="仿宋_GB2312" w:hAnsi="仿宋_GB2312" w:eastAsia="仿宋_GB2312" w:cs="仿宋_GB2312"/>
          <w:color w:val="000000"/>
          <w:kern w:val="0"/>
          <w:sz w:val="32"/>
          <w:szCs w:val="32"/>
          <w:u w:val="none" w:color="auto"/>
          <w:lang w:val="en-US" w:eastAsia="zh-CN"/>
        </w:rPr>
        <w:t>7.91</w:t>
      </w:r>
      <w:r>
        <w:rPr>
          <w:rFonts w:hint="eastAsia" w:ascii="仿宋_GB2312" w:hAnsi="仿宋_GB2312" w:eastAsia="仿宋_GB2312" w:cs="仿宋_GB2312"/>
          <w:color w:val="000000"/>
          <w:kern w:val="0"/>
          <w:sz w:val="32"/>
          <w:szCs w:val="32"/>
          <w:u w:val="none" w:color="auto"/>
        </w:rPr>
        <w:t>万元，完成年初预算的</w:t>
      </w:r>
      <w:r>
        <w:rPr>
          <w:rFonts w:hint="eastAsia" w:ascii="仿宋_GB2312" w:hAnsi="仿宋_GB2312" w:eastAsia="仿宋_GB2312" w:cs="仿宋_GB2312"/>
          <w:color w:val="000000"/>
          <w:kern w:val="0"/>
          <w:sz w:val="32"/>
          <w:szCs w:val="32"/>
          <w:u w:val="none" w:color="auto"/>
          <w:lang w:val="en-US" w:eastAsia="zh-CN"/>
        </w:rPr>
        <w:t>66.25</w:t>
      </w:r>
      <w:r>
        <w:rPr>
          <w:rFonts w:hint="eastAsia" w:ascii="仿宋_GB2312" w:hAnsi="仿宋_GB2312" w:eastAsia="仿宋_GB2312" w:cs="仿宋_GB2312"/>
          <w:color w:val="000000"/>
          <w:kern w:val="0"/>
          <w:sz w:val="32"/>
          <w:szCs w:val="32"/>
          <w:u w:val="none" w:color="auto"/>
        </w:rPr>
        <w:t>%。决算数与年初预算数的差异原因：</w:t>
      </w:r>
      <w:r>
        <w:rPr>
          <w:rFonts w:hint="eastAsia" w:ascii="仿宋_GB2312" w:hAnsi="仿宋_GB2312" w:eastAsia="仿宋_GB2312" w:cs="仿宋_GB2312"/>
          <w:color w:val="000000"/>
          <w:kern w:val="0"/>
          <w:sz w:val="32"/>
          <w:szCs w:val="32"/>
          <w:u w:val="none" w:color="auto"/>
          <w:lang w:val="en-US" w:eastAsia="zh-CN"/>
        </w:rPr>
        <w:t>2024年人员变动</w:t>
      </w:r>
      <w:r>
        <w:rPr>
          <w:rFonts w:hint="eastAsia" w:ascii="仿宋_GB2312" w:hAnsi="仿宋_GB2312" w:eastAsia="仿宋_GB2312" w:cs="仿宋_GB2312"/>
          <w:color w:val="auto"/>
          <w:kern w:val="2"/>
          <w:sz w:val="32"/>
          <w:szCs w:val="32"/>
          <w:u w:val="none" w:color="auto"/>
          <w:lang w:eastAsia="zh-CN"/>
        </w:rPr>
        <w:t>导致</w:t>
      </w:r>
      <w:r>
        <w:rPr>
          <w:rFonts w:hint="eastAsia" w:ascii="仿宋_GB2312" w:hAnsi="仿宋_GB2312" w:eastAsia="仿宋_GB2312" w:cs="仿宋_GB2312"/>
          <w:color w:val="auto"/>
          <w:kern w:val="2"/>
          <w:sz w:val="32"/>
          <w:szCs w:val="32"/>
          <w:u w:val="none" w:color="auto"/>
          <w:lang w:val="en-US" w:eastAsia="zh-CN"/>
        </w:rPr>
        <w:t>我</w:t>
      </w:r>
      <w:r>
        <w:rPr>
          <w:rFonts w:hint="eastAsia" w:ascii="仿宋_GB2312" w:hAnsi="仿宋_GB2312" w:eastAsia="仿宋_GB2312" w:cs="仿宋_GB2312"/>
          <w:color w:val="auto"/>
          <w:kern w:val="2"/>
          <w:sz w:val="32"/>
          <w:szCs w:val="32"/>
          <w:u w:val="none" w:color="auto"/>
          <w:lang w:eastAsia="zh-CN"/>
        </w:rPr>
        <w:t>单位</w:t>
      </w:r>
      <w:r>
        <w:rPr>
          <w:rFonts w:hint="eastAsia" w:ascii="仿宋_GB2312" w:hAnsi="仿宋_GB2312" w:eastAsia="仿宋_GB2312" w:cs="仿宋_GB2312"/>
          <w:color w:val="auto"/>
          <w:kern w:val="2"/>
          <w:sz w:val="32"/>
          <w:szCs w:val="32"/>
          <w:u w:val="none" w:color="auto"/>
          <w:lang w:val="en-US" w:eastAsia="zh-CN"/>
        </w:rPr>
        <w:t>医疗</w:t>
      </w:r>
      <w:r>
        <w:rPr>
          <w:rFonts w:hint="eastAsia" w:ascii="仿宋_GB2312" w:hAnsi="仿宋_GB2312" w:eastAsia="仿宋_GB2312" w:cs="仿宋_GB2312"/>
          <w:color w:val="auto"/>
          <w:kern w:val="2"/>
          <w:sz w:val="32"/>
          <w:szCs w:val="32"/>
          <w:u w:val="none" w:color="auto"/>
          <w:lang w:eastAsia="zh-CN"/>
        </w:rPr>
        <w:t>保险缴费支出</w:t>
      </w:r>
      <w:r>
        <w:rPr>
          <w:rFonts w:hint="eastAsia" w:ascii="仿宋_GB2312" w:hAnsi="仿宋_GB2312" w:eastAsia="仿宋_GB2312" w:cs="仿宋_GB2312"/>
          <w:color w:val="auto"/>
          <w:kern w:val="2"/>
          <w:sz w:val="32"/>
          <w:szCs w:val="32"/>
          <w:u w:val="none" w:color="auto"/>
          <w:lang w:val="en-US" w:eastAsia="zh-CN"/>
        </w:rPr>
        <w:t>减少</w:t>
      </w:r>
      <w:r>
        <w:rPr>
          <w:rFonts w:hint="eastAsia" w:ascii="仿宋_GB2312" w:hAnsi="仿宋_GB2312" w:eastAsia="仿宋_GB2312" w:cs="仿宋_GB2312"/>
          <w:color w:val="000000"/>
          <w:kern w:val="0"/>
          <w:sz w:val="32"/>
          <w:szCs w:val="32"/>
          <w:u w:val="none" w:color="auto"/>
        </w:rPr>
        <w:t>。</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Times New Roman"/>
          <w:b/>
          <w:color w:val="auto"/>
          <w:kern w:val="2"/>
          <w:sz w:val="32"/>
          <w:szCs w:val="22"/>
          <w:u w:val="none" w:color="auto"/>
        </w:rPr>
      </w:pPr>
      <w:r>
        <w:rPr>
          <w:rFonts w:ascii="kai_ti_gb2312" w:hAnsi="kai_ti_gb2312" w:eastAsia="kai_ti_gb2312" w:cs="kai_ti_gb2312"/>
          <w:b/>
          <w:bCs/>
          <w:color w:val="000000"/>
          <w:kern w:val="0"/>
          <w:sz w:val="27"/>
          <w:szCs w:val="27"/>
          <w:u w:val="none" w:color="auto"/>
        </w:rPr>
        <w:t xml:space="preserve">    </w:t>
      </w:r>
      <w:r>
        <w:rPr>
          <w:rFonts w:hint="eastAsia" w:ascii="楷体" w:hAnsi="楷体" w:eastAsia="楷体" w:cs="Times New Roman"/>
          <w:b/>
          <w:color w:val="auto"/>
          <w:kern w:val="2"/>
          <w:sz w:val="32"/>
          <w:szCs w:val="22"/>
          <w:u w:val="none" w:color="auto"/>
        </w:rPr>
        <w:t>（</w:t>
      </w:r>
      <w:r>
        <w:rPr>
          <w:rFonts w:hint="eastAsia" w:ascii="楷体" w:hAnsi="楷体" w:eastAsia="楷体" w:cs="Times New Roman"/>
          <w:b/>
          <w:color w:val="auto"/>
          <w:kern w:val="2"/>
          <w:sz w:val="32"/>
          <w:szCs w:val="22"/>
          <w:u w:val="none" w:color="auto"/>
          <w:lang w:val="en-US" w:eastAsia="zh-CN"/>
        </w:rPr>
        <w:t>四</w:t>
      </w:r>
      <w:r>
        <w:rPr>
          <w:rFonts w:hint="eastAsia" w:ascii="楷体" w:hAnsi="楷体" w:eastAsia="楷体" w:cs="Times New Roman"/>
          <w:b/>
          <w:color w:val="auto"/>
          <w:kern w:val="2"/>
          <w:sz w:val="32"/>
          <w:szCs w:val="22"/>
          <w:u w:val="none" w:color="auto"/>
        </w:rPr>
        <w:t>）住房保障支出（类）</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kern w:val="0"/>
          <w:sz w:val="32"/>
          <w:szCs w:val="32"/>
          <w:u w:val="none" w:color="auto"/>
        </w:rPr>
      </w:pPr>
      <w:r>
        <w:rPr>
          <w:rFonts w:hint="eastAsia" w:ascii="仿宋_GB2312" w:hAnsi="仿宋_GB2312" w:eastAsia="仿宋_GB2312" w:cs="仿宋_GB2312"/>
          <w:color w:val="000000"/>
          <w:kern w:val="0"/>
          <w:sz w:val="32"/>
          <w:szCs w:val="32"/>
          <w:u w:val="none" w:color="auto"/>
        </w:rPr>
        <w:t>住房保障支出（类）决算数为 18.28万元，与年初预算相比减</w:t>
      </w:r>
      <w:r>
        <w:rPr>
          <w:rFonts w:hint="eastAsia" w:ascii="仿宋_GB2312" w:hAnsi="仿宋_GB2312" w:eastAsia="仿宋_GB2312" w:cs="仿宋_GB2312"/>
          <w:color w:val="000000"/>
          <w:kern w:val="0"/>
          <w:sz w:val="32"/>
          <w:szCs w:val="32"/>
          <w:u w:val="none" w:color="auto"/>
          <w:lang w:val="en-US" w:eastAsia="zh-CN"/>
        </w:rPr>
        <w:t>少</w:t>
      </w:r>
      <w:r>
        <w:rPr>
          <w:rFonts w:hint="eastAsia" w:ascii="仿宋_GB2312" w:hAnsi="仿宋_GB2312" w:eastAsia="仿宋_GB2312" w:cs="仿宋_GB2312"/>
          <w:color w:val="000000"/>
          <w:kern w:val="0"/>
          <w:sz w:val="32"/>
          <w:szCs w:val="32"/>
          <w:u w:val="none" w:color="auto"/>
        </w:rPr>
        <w:t>0.66万元。其中：</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kern w:val="0"/>
          <w:sz w:val="24"/>
          <w:u w:val="none" w:color="auto"/>
        </w:rPr>
      </w:pPr>
      <w:r>
        <w:rPr>
          <w:rFonts w:hint="eastAsia" w:ascii="仿宋_GB2312" w:hAnsi="仿宋_GB2312" w:eastAsia="仿宋_GB2312" w:cs="仿宋_GB2312"/>
          <w:color w:val="000000"/>
          <w:kern w:val="0"/>
          <w:sz w:val="32"/>
          <w:szCs w:val="32"/>
          <w:u w:val="none" w:color="auto"/>
          <w:lang w:val="en-US" w:eastAsia="zh-CN"/>
        </w:rPr>
        <w:t>1、</w:t>
      </w:r>
      <w:r>
        <w:rPr>
          <w:rFonts w:hint="eastAsia" w:ascii="仿宋_GB2312" w:hAnsi="仿宋_GB2312" w:eastAsia="仿宋_GB2312" w:cs="仿宋_GB2312"/>
          <w:color w:val="000000"/>
          <w:kern w:val="0"/>
          <w:sz w:val="32"/>
          <w:szCs w:val="32"/>
          <w:u w:val="none" w:color="auto"/>
        </w:rPr>
        <w:t>住房改革支出（款）住房公积金（项）。年初预算</w:t>
      </w:r>
      <w:r>
        <w:rPr>
          <w:rFonts w:hint="eastAsia" w:ascii="仿宋_GB2312" w:hAnsi="仿宋_GB2312" w:eastAsia="仿宋_GB2312" w:cs="仿宋_GB2312"/>
          <w:color w:val="000000"/>
          <w:kern w:val="0"/>
          <w:sz w:val="32"/>
          <w:szCs w:val="32"/>
          <w:u w:val="none" w:color="auto"/>
          <w:lang w:val="en-US" w:eastAsia="zh-CN"/>
        </w:rPr>
        <w:t>18.94</w:t>
      </w:r>
      <w:r>
        <w:rPr>
          <w:rFonts w:hint="eastAsia" w:ascii="仿宋_GB2312" w:hAnsi="仿宋_GB2312" w:eastAsia="仿宋_GB2312" w:cs="仿宋_GB2312"/>
          <w:color w:val="000000"/>
          <w:kern w:val="0"/>
          <w:sz w:val="32"/>
          <w:szCs w:val="32"/>
          <w:u w:val="none" w:color="auto"/>
        </w:rPr>
        <w:t>万元，支出决算</w:t>
      </w:r>
      <w:r>
        <w:rPr>
          <w:rFonts w:hint="eastAsia" w:ascii="仿宋_GB2312" w:hAnsi="仿宋_GB2312" w:eastAsia="仿宋_GB2312" w:cs="仿宋_GB2312"/>
          <w:color w:val="000000"/>
          <w:kern w:val="0"/>
          <w:sz w:val="32"/>
          <w:szCs w:val="32"/>
          <w:u w:val="none" w:color="auto"/>
          <w:lang w:val="en-US" w:eastAsia="zh-CN"/>
        </w:rPr>
        <w:t>18.28</w:t>
      </w:r>
      <w:r>
        <w:rPr>
          <w:rFonts w:hint="eastAsia" w:ascii="仿宋_GB2312" w:hAnsi="仿宋_GB2312" w:eastAsia="仿宋_GB2312" w:cs="仿宋_GB2312"/>
          <w:color w:val="000000"/>
          <w:kern w:val="0"/>
          <w:sz w:val="32"/>
          <w:szCs w:val="32"/>
          <w:u w:val="none" w:color="auto"/>
        </w:rPr>
        <w:t>万元，完成年初预算的</w:t>
      </w:r>
      <w:r>
        <w:rPr>
          <w:rFonts w:hint="eastAsia" w:ascii="仿宋_GB2312" w:hAnsi="仿宋_GB2312" w:eastAsia="仿宋_GB2312" w:cs="仿宋_GB2312"/>
          <w:color w:val="000000"/>
          <w:kern w:val="0"/>
          <w:sz w:val="32"/>
          <w:szCs w:val="32"/>
          <w:u w:val="none" w:color="auto"/>
          <w:lang w:val="en-US" w:eastAsia="zh-CN"/>
        </w:rPr>
        <w:t>96.52</w:t>
      </w:r>
      <w:r>
        <w:rPr>
          <w:rFonts w:hint="eastAsia" w:ascii="仿宋_GB2312" w:hAnsi="仿宋_GB2312" w:eastAsia="仿宋_GB2312" w:cs="仿宋_GB2312"/>
          <w:color w:val="000000"/>
          <w:kern w:val="0"/>
          <w:sz w:val="32"/>
          <w:szCs w:val="32"/>
          <w:u w:val="none" w:color="auto"/>
        </w:rPr>
        <w:t>%。决算数与年初预算数的差异原因：</w:t>
      </w:r>
      <w:r>
        <w:rPr>
          <w:rFonts w:hint="eastAsia" w:ascii="仿宋_GB2312" w:hAnsi="仿宋_GB2312" w:eastAsia="仿宋_GB2312" w:cs="仿宋_GB2312"/>
          <w:color w:val="000000"/>
          <w:kern w:val="0"/>
          <w:sz w:val="32"/>
          <w:szCs w:val="32"/>
          <w:u w:val="none" w:color="auto"/>
          <w:lang w:val="en-US" w:eastAsia="zh-CN"/>
        </w:rPr>
        <w:t>2024年人员变动</w:t>
      </w:r>
      <w:r>
        <w:rPr>
          <w:rFonts w:hint="eastAsia" w:ascii="仿宋_GB2312" w:hAnsi="仿宋_GB2312" w:eastAsia="仿宋_GB2312" w:cs="仿宋_GB2312"/>
          <w:color w:val="auto"/>
          <w:kern w:val="2"/>
          <w:sz w:val="32"/>
          <w:szCs w:val="32"/>
          <w:u w:val="none" w:color="auto"/>
          <w:lang w:eastAsia="zh-CN"/>
        </w:rPr>
        <w:t>导致</w:t>
      </w:r>
      <w:r>
        <w:rPr>
          <w:rFonts w:hint="eastAsia" w:ascii="仿宋_GB2312" w:hAnsi="仿宋_GB2312" w:eastAsia="仿宋_GB2312" w:cs="仿宋_GB2312"/>
          <w:color w:val="auto"/>
          <w:kern w:val="2"/>
          <w:sz w:val="32"/>
          <w:szCs w:val="32"/>
          <w:u w:val="none" w:color="auto"/>
          <w:lang w:val="en-US" w:eastAsia="zh-CN"/>
        </w:rPr>
        <w:t>我</w:t>
      </w:r>
      <w:r>
        <w:rPr>
          <w:rFonts w:hint="eastAsia" w:ascii="仿宋_GB2312" w:hAnsi="仿宋_GB2312" w:eastAsia="仿宋_GB2312" w:cs="仿宋_GB2312"/>
          <w:color w:val="auto"/>
          <w:kern w:val="2"/>
          <w:sz w:val="32"/>
          <w:szCs w:val="32"/>
          <w:u w:val="none" w:color="auto"/>
          <w:lang w:eastAsia="zh-CN"/>
        </w:rPr>
        <w:t>单位</w:t>
      </w:r>
      <w:r>
        <w:rPr>
          <w:rFonts w:hint="eastAsia" w:ascii="仿宋_GB2312" w:hAnsi="仿宋_GB2312" w:eastAsia="仿宋_GB2312" w:cs="仿宋_GB2312"/>
          <w:color w:val="auto"/>
          <w:kern w:val="2"/>
          <w:sz w:val="32"/>
          <w:szCs w:val="32"/>
          <w:u w:val="none" w:color="auto"/>
          <w:lang w:val="en-US" w:eastAsia="zh-CN"/>
        </w:rPr>
        <w:t>住房公积金</w:t>
      </w:r>
      <w:r>
        <w:rPr>
          <w:rFonts w:hint="eastAsia" w:ascii="仿宋_GB2312" w:hAnsi="仿宋_GB2312" w:eastAsia="仿宋_GB2312" w:cs="仿宋_GB2312"/>
          <w:color w:val="auto"/>
          <w:kern w:val="2"/>
          <w:sz w:val="32"/>
          <w:szCs w:val="32"/>
          <w:u w:val="none" w:color="auto"/>
          <w:lang w:eastAsia="zh-CN"/>
        </w:rPr>
        <w:t>缴费支出</w:t>
      </w:r>
      <w:r>
        <w:rPr>
          <w:rFonts w:hint="eastAsia" w:ascii="仿宋_GB2312" w:hAnsi="仿宋_GB2312" w:eastAsia="仿宋_GB2312" w:cs="仿宋_GB2312"/>
          <w:color w:val="auto"/>
          <w:kern w:val="2"/>
          <w:sz w:val="32"/>
          <w:szCs w:val="32"/>
          <w:u w:val="none" w:color="auto"/>
          <w:lang w:val="en-US" w:eastAsia="zh-CN"/>
        </w:rPr>
        <w:t>减少。</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textAlignment w:val="auto"/>
        <w:rPr>
          <w:rFonts w:ascii="Times New Roman" w:hAnsi="Times New Roman" w:eastAsia="Times New Roman" w:cs="Times New Roman"/>
          <w:kern w:val="0"/>
          <w:sz w:val="24"/>
          <w:u w:val="none" w:color="auto"/>
        </w:rPr>
      </w:pPr>
      <w:r>
        <w:rPr>
          <w:rFonts w:hint="eastAsia" w:ascii="黑体" w:hAnsi="黑体" w:eastAsia="黑体" w:cs="Times New Roman"/>
          <w:b/>
          <w:color w:val="auto"/>
          <w:kern w:val="2"/>
          <w:sz w:val="32"/>
          <w:szCs w:val="32"/>
          <w:u w:val="none" w:color="auto"/>
          <w:lang w:val="en-US" w:eastAsia="zh-CN"/>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kern w:val="0"/>
          <w:sz w:val="32"/>
          <w:szCs w:val="32"/>
          <w:u w:val="none" w:color="auto"/>
        </w:rPr>
      </w:pPr>
      <w:r>
        <w:rPr>
          <w:rFonts w:hint="eastAsia" w:ascii="仿宋_GB2312" w:hAnsi="仿宋_GB2312" w:eastAsia="仿宋_GB2312" w:cs="仿宋_GB2312"/>
          <w:color w:val="000000"/>
          <w:kern w:val="0"/>
          <w:sz w:val="32"/>
          <w:szCs w:val="32"/>
          <w:u w:val="none" w:color="auto"/>
        </w:rPr>
        <w:t>中共磴口县委员会机构编制委员会办公室</w:t>
      </w:r>
      <w:r>
        <w:rPr>
          <w:rFonts w:hint="eastAsia" w:ascii="仿宋_GB2312" w:hAnsi="仿宋_GB2312" w:eastAsia="仿宋_GB2312" w:cs="仿宋_GB2312"/>
          <w:color w:val="auto"/>
          <w:kern w:val="2"/>
          <w:sz w:val="32"/>
          <w:szCs w:val="32"/>
          <w:u w:val="none" w:color="auto"/>
        </w:rPr>
        <w:t>（部门）</w:t>
      </w:r>
      <w:r>
        <w:rPr>
          <w:rFonts w:hint="eastAsia" w:ascii="仿宋_GB2312" w:hAnsi="仿宋_GB2312" w:eastAsia="仿宋_GB2312" w:cs="仿宋_GB2312"/>
          <w:color w:val="000000"/>
          <w:kern w:val="0"/>
          <w:sz w:val="32"/>
          <w:szCs w:val="32"/>
          <w:u w:val="none" w:color="auto"/>
        </w:rPr>
        <w:t>2024年度一般公共预算财政拨款基本支出决算 277.83万元，其中：</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color w:val="000000"/>
          <w:kern w:val="0"/>
          <w:sz w:val="32"/>
          <w:szCs w:val="32"/>
          <w:u w:val="none" w:color="auto"/>
        </w:rPr>
      </w:pPr>
      <w:r>
        <w:rPr>
          <w:rFonts w:hint="eastAsia" w:ascii="仿宋_GB2312" w:hAnsi="仿宋_GB2312" w:eastAsia="仿宋_GB2312" w:cs="仿宋_GB2312"/>
          <w:b/>
          <w:bCs/>
          <w:color w:val="000000"/>
          <w:kern w:val="0"/>
          <w:sz w:val="32"/>
          <w:szCs w:val="32"/>
          <w:u w:val="none" w:color="auto"/>
          <w:lang w:eastAsia="zh-CN"/>
        </w:rPr>
        <w:t>（</w:t>
      </w:r>
      <w:r>
        <w:rPr>
          <w:rFonts w:hint="eastAsia" w:ascii="仿宋_GB2312" w:hAnsi="仿宋_GB2312" w:eastAsia="仿宋_GB2312" w:cs="仿宋_GB2312"/>
          <w:b/>
          <w:bCs/>
          <w:color w:val="000000"/>
          <w:kern w:val="0"/>
          <w:sz w:val="32"/>
          <w:szCs w:val="32"/>
          <w:u w:val="none" w:color="auto"/>
          <w:lang w:val="en-US" w:eastAsia="zh-CN"/>
        </w:rPr>
        <w:t>一</w:t>
      </w:r>
      <w:r>
        <w:rPr>
          <w:rFonts w:hint="eastAsia" w:ascii="仿宋_GB2312" w:hAnsi="仿宋_GB2312" w:eastAsia="仿宋_GB2312" w:cs="仿宋_GB2312"/>
          <w:b/>
          <w:bCs/>
          <w:color w:val="000000"/>
          <w:kern w:val="0"/>
          <w:sz w:val="32"/>
          <w:szCs w:val="32"/>
          <w:u w:val="none" w:color="auto"/>
          <w:lang w:eastAsia="zh-CN"/>
        </w:rPr>
        <w:t>）</w:t>
      </w:r>
      <w:r>
        <w:rPr>
          <w:rFonts w:hint="eastAsia" w:ascii="仿宋_GB2312" w:hAnsi="仿宋_GB2312" w:eastAsia="仿宋_GB2312" w:cs="仿宋_GB2312"/>
          <w:b/>
          <w:bCs/>
          <w:color w:val="000000"/>
          <w:kern w:val="0"/>
          <w:sz w:val="32"/>
          <w:szCs w:val="32"/>
          <w:u w:val="none" w:color="auto"/>
        </w:rPr>
        <w:t>人员经费 267.36万元</w:t>
      </w:r>
      <w:r>
        <w:rPr>
          <w:rFonts w:hint="eastAsia" w:ascii="仿宋_GB2312" w:hAnsi="仿宋_GB2312" w:eastAsia="仿宋_GB2312" w:cs="仿宋_GB2312"/>
          <w:color w:val="000000"/>
          <w:kern w:val="0"/>
          <w:sz w:val="32"/>
          <w:szCs w:val="32"/>
          <w:u w:val="none" w:color="auto"/>
        </w:rPr>
        <w:t>。主要包括：基本工资、津贴补贴、奖金、伙食补助费、绩效工资、机关事业单位基本养老保险缴费、职业年金缴费、职工基本医疗保险缴费、公务员医疗补助缴费、住房公积金、其他工资福利支出、离休费、退休费、抚恤金、生活补助、医疗费补助、奖励金、其他对个人和家庭的补助支出等。</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color w:val="000000"/>
          <w:kern w:val="0"/>
          <w:sz w:val="32"/>
          <w:szCs w:val="32"/>
          <w:u w:val="none" w:color="auto"/>
        </w:rPr>
      </w:pPr>
      <w:r>
        <w:rPr>
          <w:rFonts w:hint="eastAsia" w:ascii="仿宋_GB2312" w:hAnsi="仿宋_GB2312" w:eastAsia="仿宋_GB2312" w:cs="仿宋_GB2312"/>
          <w:b/>
          <w:bCs/>
          <w:color w:val="000000"/>
          <w:kern w:val="0"/>
          <w:sz w:val="32"/>
          <w:szCs w:val="32"/>
          <w:u w:val="none" w:color="auto"/>
        </w:rPr>
        <w:t>（二）公用经费 10.47万元</w:t>
      </w:r>
      <w:r>
        <w:rPr>
          <w:rFonts w:hint="eastAsia" w:ascii="仿宋_GB2312" w:hAnsi="仿宋_GB2312" w:eastAsia="仿宋_GB2312" w:cs="仿宋_GB2312"/>
          <w:color w:val="000000"/>
          <w:kern w:val="0"/>
          <w:sz w:val="32"/>
          <w:szCs w:val="32"/>
          <w:u w:val="none" w:color="auto"/>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黑体" w:hAnsi="黑体" w:eastAsia="黑体" w:cs="Times New Roman"/>
          <w:b/>
          <w:color w:val="auto"/>
          <w:kern w:val="2"/>
          <w:sz w:val="32"/>
          <w:szCs w:val="32"/>
          <w:u w:val="none" w:color="auto"/>
          <w:lang w:val="en-US" w:eastAsia="zh-CN"/>
        </w:rPr>
      </w:pPr>
      <w:r>
        <w:rPr>
          <w:rFonts w:hint="eastAsia" w:ascii="黑体" w:hAnsi="黑体" w:eastAsia="黑体" w:cs="Times New Roman"/>
          <w:b/>
          <w:color w:val="auto"/>
          <w:kern w:val="2"/>
          <w:sz w:val="32"/>
          <w:szCs w:val="32"/>
          <w:u w:val="none" w:color="auto"/>
          <w:lang w:val="en-US" w:eastAsia="zh-CN"/>
        </w:rPr>
        <w:t>七、一般公共预算财政拨款项目支出决算情况说明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kern w:val="0"/>
          <w:sz w:val="32"/>
          <w:szCs w:val="32"/>
          <w:u w:val="none" w:color="auto"/>
        </w:rPr>
      </w:pPr>
      <w:r>
        <w:rPr>
          <w:rFonts w:hint="eastAsia" w:ascii="仿宋_GB2312" w:hAnsi="仿宋_GB2312" w:eastAsia="仿宋_GB2312" w:cs="仿宋_GB2312"/>
          <w:color w:val="000000"/>
          <w:kern w:val="0"/>
          <w:sz w:val="32"/>
          <w:szCs w:val="32"/>
          <w:u w:val="none" w:color="auto"/>
        </w:rPr>
        <w:t>中共磴口县委员会机构编制委员会办公室</w:t>
      </w:r>
      <w:r>
        <w:rPr>
          <w:rFonts w:hint="eastAsia" w:ascii="仿宋_GB2312" w:hAnsi="仿宋_GB2312" w:eastAsia="仿宋_GB2312" w:cs="仿宋_GB2312"/>
          <w:color w:val="auto"/>
          <w:kern w:val="2"/>
          <w:sz w:val="32"/>
          <w:szCs w:val="32"/>
          <w:u w:val="none" w:color="auto"/>
        </w:rPr>
        <w:t>（部门）</w:t>
      </w:r>
      <w:r>
        <w:rPr>
          <w:rFonts w:hint="eastAsia" w:ascii="仿宋_GB2312" w:hAnsi="仿宋_GB2312" w:eastAsia="仿宋_GB2312" w:cs="仿宋_GB2312"/>
          <w:color w:val="000000"/>
          <w:kern w:val="0"/>
          <w:sz w:val="32"/>
          <w:szCs w:val="32"/>
          <w:u w:val="none" w:color="auto"/>
        </w:rPr>
        <w:t> 2024年度一般公共预算财政拨款项目支出决算10万元，其中：</w:t>
      </w:r>
    </w:p>
    <w:p>
      <w:pPr>
        <w:keepNext w:val="0"/>
        <w:keepLines w:val="0"/>
        <w:pageBreakBefore w:val="0"/>
        <w:widowControl/>
        <w:wordWrap/>
        <w:overflowPunct/>
        <w:topLinePunct w:val="0"/>
        <w:bidi w:val="0"/>
        <w:spacing w:line="360" w:lineRule="auto"/>
        <w:rPr>
          <w:rFonts w:hint="eastAsia" w:ascii="仿宋_GB2312" w:hAnsi="仿宋_GB2312" w:eastAsia="仿宋_GB2312" w:cs="仿宋_GB2312"/>
          <w:kern w:val="0"/>
          <w:sz w:val="32"/>
          <w:szCs w:val="32"/>
          <w:u w:val="none" w:color="auto"/>
        </w:rPr>
      </w:pPr>
      <w:r>
        <w:rPr>
          <w:rFonts w:hint="eastAsia" w:ascii="仿宋_GB2312" w:hAnsi="仿宋_GB2312" w:eastAsia="仿宋_GB2312" w:cs="仿宋_GB2312"/>
          <w:b/>
          <w:bCs/>
          <w:color w:val="000000"/>
          <w:kern w:val="0"/>
          <w:sz w:val="32"/>
          <w:szCs w:val="32"/>
          <w:u w:val="none" w:color="auto"/>
        </w:rPr>
        <w:t>    （一）工资福利支出0万元</w:t>
      </w:r>
      <w:r>
        <w:rPr>
          <w:rFonts w:hint="eastAsia" w:ascii="仿宋_GB2312" w:hAnsi="仿宋_GB2312" w:eastAsia="仿宋_GB2312" w:cs="仿宋_GB2312"/>
          <w:color w:val="000000"/>
          <w:kern w:val="0"/>
          <w:sz w:val="32"/>
          <w:szCs w:val="32"/>
          <w:u w:val="none" w:color="auto"/>
        </w:rPr>
        <w:t>。主要包括：基本工资、津贴补贴、奖金、伙食补助费、绩效工资、机关事业单位基本养老保险缴费、职业年金缴费、职工基本医疗保险缴费、公务员医疗补助缴费、其他社会保障缴费、住房公积金、医疗费、其他工资福利支出等。</w:t>
      </w:r>
    </w:p>
    <w:p>
      <w:pPr>
        <w:keepNext w:val="0"/>
        <w:keepLines w:val="0"/>
        <w:pageBreakBefore w:val="0"/>
        <w:widowControl/>
        <w:wordWrap/>
        <w:overflowPunct/>
        <w:topLinePunct w:val="0"/>
        <w:bidi w:val="0"/>
        <w:spacing w:line="360" w:lineRule="auto"/>
        <w:rPr>
          <w:rFonts w:hint="eastAsia" w:ascii="仿宋_GB2312" w:hAnsi="仿宋_GB2312" w:eastAsia="仿宋_GB2312" w:cs="仿宋_GB2312"/>
          <w:kern w:val="0"/>
          <w:sz w:val="32"/>
          <w:szCs w:val="32"/>
          <w:u w:val="none" w:color="auto"/>
        </w:rPr>
      </w:pPr>
      <w:r>
        <w:rPr>
          <w:rFonts w:hint="eastAsia" w:ascii="仿宋_GB2312" w:hAnsi="仿宋_GB2312" w:eastAsia="仿宋_GB2312" w:cs="仿宋_GB2312"/>
          <w:b/>
          <w:bCs/>
          <w:color w:val="000000"/>
          <w:kern w:val="0"/>
          <w:sz w:val="32"/>
          <w:szCs w:val="32"/>
          <w:u w:val="none" w:color="auto"/>
        </w:rPr>
        <w:t>    （二）商品和服务支出6.67万元</w:t>
      </w:r>
      <w:r>
        <w:rPr>
          <w:rFonts w:hint="eastAsia" w:ascii="仿宋_GB2312" w:hAnsi="仿宋_GB2312" w:eastAsia="仿宋_GB2312" w:cs="仿宋_GB2312"/>
          <w:color w:val="000000"/>
          <w:kern w:val="0"/>
          <w:sz w:val="32"/>
          <w:szCs w:val="32"/>
          <w:u w:val="none" w:color="auto"/>
        </w:rPr>
        <w:t>。主要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pPr>
        <w:keepNext w:val="0"/>
        <w:keepLines w:val="0"/>
        <w:pageBreakBefore w:val="0"/>
        <w:widowControl/>
        <w:wordWrap/>
        <w:overflowPunct/>
        <w:topLinePunct w:val="0"/>
        <w:bidi w:val="0"/>
        <w:spacing w:line="360" w:lineRule="auto"/>
        <w:rPr>
          <w:rFonts w:hint="eastAsia" w:ascii="仿宋_GB2312" w:hAnsi="仿宋_GB2312" w:eastAsia="仿宋_GB2312" w:cs="仿宋_GB2312"/>
          <w:kern w:val="0"/>
          <w:sz w:val="24"/>
          <w:u w:val="none" w:color="auto"/>
        </w:rPr>
      </w:pPr>
      <w:r>
        <w:rPr>
          <w:rFonts w:hint="eastAsia" w:ascii="仿宋_GB2312" w:hAnsi="仿宋_GB2312" w:eastAsia="仿宋_GB2312" w:cs="仿宋_GB2312"/>
          <w:b/>
          <w:bCs/>
          <w:color w:val="000000"/>
          <w:kern w:val="0"/>
          <w:sz w:val="32"/>
          <w:szCs w:val="32"/>
          <w:u w:val="none" w:color="auto"/>
        </w:rPr>
        <w:t>    （三）资本性支出3.33万元。</w:t>
      </w:r>
      <w:r>
        <w:rPr>
          <w:rFonts w:hint="eastAsia" w:ascii="仿宋_GB2312" w:hAnsi="仿宋_GB2312" w:eastAsia="仿宋_GB2312" w:cs="仿宋_GB2312"/>
          <w:color w:val="000000"/>
          <w:kern w:val="0"/>
          <w:sz w:val="32"/>
          <w:szCs w:val="32"/>
          <w:u w:val="none" w:color="auto"/>
        </w:rPr>
        <w:t>主要包括：房屋建筑物构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黑体" w:hAnsi="黑体" w:eastAsia="黑体" w:cs="Times New Roman"/>
          <w:b/>
          <w:color w:val="auto"/>
          <w:kern w:val="2"/>
          <w:sz w:val="32"/>
          <w:szCs w:val="32"/>
          <w:u w:val="none" w:color="auto"/>
          <w:lang w:val="en-US" w:eastAsia="zh-CN"/>
        </w:rPr>
      </w:pPr>
      <w:r>
        <w:rPr>
          <w:rFonts w:hint="eastAsia" w:ascii="黑体" w:hAnsi="黑体" w:eastAsia="黑体" w:cs="Times New Roman"/>
          <w:b/>
          <w:color w:val="auto"/>
          <w:kern w:val="2"/>
          <w:sz w:val="32"/>
          <w:szCs w:val="32"/>
          <w:u w:val="none" w:color="auto"/>
          <w:lang w:val="en-US" w:eastAsia="zh-CN"/>
        </w:rPr>
        <w:t>八、财政拨款“三公”经费支出决算情况说明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bCs/>
          <w:kern w:val="0"/>
          <w:sz w:val="32"/>
          <w:szCs w:val="32"/>
          <w:u w:val="none" w:color="auto"/>
        </w:rPr>
      </w:pPr>
      <w:r>
        <w:rPr>
          <w:rFonts w:ascii="kai_ti_gb2312" w:hAnsi="kai_ti_gb2312" w:eastAsia="kai_ti_gb2312" w:cs="kai_ti_gb2312"/>
          <w:b/>
          <w:bCs/>
          <w:kern w:val="0"/>
          <w:sz w:val="27"/>
          <w:szCs w:val="27"/>
          <w:u w:val="none" w:color="auto"/>
        </w:rPr>
        <w:t>   </w:t>
      </w:r>
      <w:r>
        <w:rPr>
          <w:rFonts w:hint="eastAsia" w:ascii="仿宋" w:hAnsi="仿宋" w:eastAsia="仿宋" w:cs="仿宋"/>
          <w:b/>
          <w:bCs/>
          <w:kern w:val="0"/>
          <w:sz w:val="32"/>
          <w:szCs w:val="32"/>
          <w:u w:val="none" w:color="auto"/>
        </w:rPr>
        <w:t xml:space="preserve"> </w:t>
      </w:r>
      <w:r>
        <w:rPr>
          <w:rFonts w:hint="eastAsia" w:ascii="楷体" w:hAnsi="楷体" w:eastAsia="楷体" w:cs="楷体"/>
          <w:b/>
          <w:bCs/>
          <w:kern w:val="0"/>
          <w:sz w:val="32"/>
          <w:szCs w:val="32"/>
          <w:u w:val="none" w:color="auto"/>
        </w:rPr>
        <w:t>（一）财政拨款“三公”经费支出总体情况说明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kern w:val="0"/>
          <w:sz w:val="32"/>
          <w:szCs w:val="32"/>
          <w:u w:val="none" w:color="auto"/>
        </w:rPr>
      </w:pPr>
      <w:r>
        <w:rPr>
          <w:rFonts w:hint="eastAsia" w:ascii="仿宋_GB2312" w:hAnsi="仿宋_GB2312" w:eastAsia="仿宋_GB2312" w:cs="仿宋_GB2312"/>
          <w:color w:val="000000"/>
          <w:kern w:val="0"/>
          <w:sz w:val="32"/>
          <w:szCs w:val="32"/>
          <w:u w:val="none" w:color="auto"/>
        </w:rPr>
        <w:t>中共磴口县委员会机构编制委员会办公室</w:t>
      </w:r>
      <w:r>
        <w:rPr>
          <w:rFonts w:hint="eastAsia" w:ascii="仿宋_GB2312" w:hAnsi="仿宋_GB2312" w:eastAsia="仿宋_GB2312" w:cs="仿宋_GB2312"/>
          <w:color w:val="auto"/>
          <w:kern w:val="2"/>
          <w:sz w:val="32"/>
          <w:szCs w:val="32"/>
          <w:u w:val="none" w:color="auto"/>
        </w:rPr>
        <w:t>（部门）</w:t>
      </w:r>
      <w:r>
        <w:rPr>
          <w:rFonts w:hint="eastAsia" w:ascii="仿宋_GB2312" w:hAnsi="仿宋_GB2312" w:eastAsia="仿宋_GB2312" w:cs="仿宋_GB2312"/>
          <w:color w:val="000000"/>
          <w:kern w:val="0"/>
          <w:sz w:val="32"/>
          <w:szCs w:val="32"/>
          <w:u w:val="none" w:color="auto"/>
        </w:rPr>
        <w:t> 2024年度财政拨款“三公”经费全年预算0.30万元，支出决算 0.30万元，完成预算的100%。其中：因公出国（境）费全年预算0万元，支出决算0万元，完成预算的0%；公务用车购置及运行维护费全年预算0万元，支出决算0万元，完成预算的0%；公务接待费全年预算0.30万元，支出决算0.30万元，完成预算的100%。2024年度一般公共预算财政拨款“三公”经费全年预算0.30万元，支出决算0.30万元，与预算差异原因</w:t>
      </w:r>
      <w:r>
        <w:rPr>
          <w:rFonts w:hint="eastAsia" w:ascii="仿宋_GB2312" w:hAnsi="仿宋_GB2312" w:eastAsia="仿宋_GB2312" w:cs="仿宋_GB2312"/>
          <w:color w:val="auto"/>
          <w:kern w:val="2"/>
          <w:sz w:val="32"/>
          <w:szCs w:val="32"/>
          <w:u w:val="none" w:color="auto"/>
          <w:lang w:eastAsia="zh-CN"/>
        </w:rPr>
        <w:t>与上年相比无增减变化</w:t>
      </w:r>
      <w:r>
        <w:rPr>
          <w:rFonts w:hint="eastAsia" w:ascii="仿宋_GB2312" w:hAnsi="仿宋_GB2312" w:eastAsia="仿宋_GB2312" w:cs="仿宋_GB2312"/>
          <w:color w:val="000000"/>
          <w:kern w:val="0"/>
          <w:sz w:val="32"/>
          <w:szCs w:val="32"/>
          <w:u w:val="none" w:color="auto"/>
        </w:rPr>
        <w:t>。</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481" w:leftChars="0" w:firstLine="0" w:firstLineChars="0"/>
        <w:jc w:val="left"/>
        <w:textAlignment w:val="auto"/>
        <w:rPr>
          <w:rFonts w:hint="eastAsia" w:ascii="楷体" w:hAnsi="楷体" w:eastAsia="楷体" w:cs="楷体"/>
          <w:b/>
          <w:bCs/>
          <w:kern w:val="0"/>
          <w:sz w:val="32"/>
          <w:szCs w:val="32"/>
          <w:u w:val="none" w:color="auto"/>
        </w:rPr>
      </w:pPr>
      <w:r>
        <w:rPr>
          <w:rFonts w:hint="eastAsia" w:ascii="楷体" w:hAnsi="楷体" w:eastAsia="楷体" w:cs="楷体"/>
          <w:b/>
          <w:bCs/>
          <w:kern w:val="0"/>
          <w:sz w:val="32"/>
          <w:szCs w:val="32"/>
          <w:u w:val="none" w:color="auto"/>
        </w:rPr>
        <w:t>财政拨款“三公”经费支出具体情况说明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kern w:val="0"/>
          <w:sz w:val="32"/>
          <w:szCs w:val="32"/>
          <w:u w:val="none" w:color="auto"/>
        </w:rPr>
      </w:pPr>
      <w:r>
        <w:rPr>
          <w:rFonts w:hint="eastAsia" w:ascii="仿宋_GB2312" w:hAnsi="仿宋_GB2312" w:eastAsia="仿宋_GB2312" w:cs="仿宋_GB2312"/>
          <w:color w:val="000000"/>
          <w:kern w:val="0"/>
          <w:sz w:val="32"/>
          <w:szCs w:val="32"/>
          <w:u w:val="none" w:color="auto"/>
        </w:rPr>
        <w:t>中共磴口县委员会机构编制委员会办公室（部门） 2024年度财政拨款“三公”经费支出0.30万元。因公出国（境）费支出0万元，占0%；公务用车购置及运行维护费支出0万元，占0%；公务接待费支出0.30万元，占100%。其中：</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kern w:val="0"/>
          <w:sz w:val="32"/>
          <w:szCs w:val="32"/>
          <w:u w:val="none" w:color="auto"/>
        </w:rPr>
      </w:pPr>
      <w:r>
        <w:rPr>
          <w:rFonts w:hint="eastAsia" w:ascii="仿宋_GB2312" w:hAnsi="仿宋_GB2312" w:eastAsia="仿宋_GB2312" w:cs="仿宋_GB2312"/>
          <w:color w:val="000000"/>
          <w:kern w:val="0"/>
          <w:sz w:val="32"/>
          <w:szCs w:val="32"/>
          <w:u w:val="none" w:color="auto"/>
          <w:lang w:val="en-US" w:eastAsia="zh-CN"/>
        </w:rPr>
        <w:t>1、</w:t>
      </w:r>
      <w:r>
        <w:rPr>
          <w:rFonts w:hint="eastAsia" w:ascii="仿宋_GB2312" w:hAnsi="仿宋_GB2312" w:eastAsia="仿宋_GB2312" w:cs="仿宋_GB2312"/>
          <w:color w:val="000000"/>
          <w:kern w:val="0"/>
          <w:sz w:val="32"/>
          <w:szCs w:val="32"/>
          <w:u w:val="none" w:color="auto"/>
        </w:rPr>
        <w:t>因公出国（境）费支出0万元，全年出国（境）团组0个，累计0人次。与上年决算相比，增加0万元，增长0%，变动原因</w:t>
      </w:r>
      <w:r>
        <w:rPr>
          <w:rFonts w:hint="eastAsia" w:ascii="仿宋_GB2312" w:hAnsi="仿宋_GB2312" w:eastAsia="仿宋_GB2312" w:cs="仿宋_GB2312"/>
          <w:color w:val="000000"/>
          <w:kern w:val="0"/>
          <w:sz w:val="32"/>
          <w:szCs w:val="32"/>
          <w:u w:val="none" w:color="auto"/>
          <w:lang w:eastAsia="zh-CN"/>
        </w:rPr>
        <w:t>：我单位不存在此项内容</w:t>
      </w:r>
      <w:r>
        <w:rPr>
          <w:rFonts w:hint="eastAsia" w:ascii="仿宋_GB2312" w:hAnsi="仿宋_GB2312" w:eastAsia="仿宋_GB2312" w:cs="仿宋_GB2312"/>
          <w:color w:val="000000"/>
          <w:kern w:val="0"/>
          <w:sz w:val="32"/>
          <w:szCs w:val="32"/>
          <w:u w:val="none" w:color="auto"/>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kern w:val="0"/>
          <w:sz w:val="32"/>
          <w:szCs w:val="32"/>
          <w:u w:val="none" w:color="auto"/>
        </w:rPr>
      </w:pPr>
      <w:r>
        <w:rPr>
          <w:rFonts w:hint="eastAsia" w:ascii="仿宋_GB2312" w:hAnsi="仿宋_GB2312" w:eastAsia="仿宋_GB2312" w:cs="仿宋_GB2312"/>
          <w:color w:val="000000"/>
          <w:kern w:val="0"/>
          <w:sz w:val="32"/>
          <w:szCs w:val="32"/>
          <w:u w:val="none" w:color="auto"/>
          <w:lang w:val="en-US" w:eastAsia="zh-CN"/>
        </w:rPr>
        <w:t>2、</w:t>
      </w:r>
      <w:r>
        <w:rPr>
          <w:rFonts w:hint="eastAsia" w:ascii="仿宋_GB2312" w:hAnsi="仿宋_GB2312" w:eastAsia="仿宋_GB2312" w:cs="仿宋_GB2312"/>
          <w:color w:val="000000"/>
          <w:kern w:val="0"/>
          <w:sz w:val="32"/>
          <w:szCs w:val="32"/>
          <w:u w:val="none" w:color="auto"/>
        </w:rPr>
        <w:t>公务用车购置及运行维护费支出0万元。其中：</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kern w:val="0"/>
          <w:sz w:val="32"/>
          <w:szCs w:val="32"/>
          <w:u w:val="none" w:color="auto"/>
        </w:rPr>
      </w:pPr>
      <w:r>
        <w:rPr>
          <w:rFonts w:hint="eastAsia" w:ascii="仿宋_GB2312" w:hAnsi="仿宋_GB2312" w:eastAsia="仿宋_GB2312" w:cs="仿宋_GB2312"/>
          <w:color w:val="000000"/>
          <w:kern w:val="0"/>
          <w:sz w:val="32"/>
          <w:szCs w:val="32"/>
          <w:u w:val="none" w:color="auto"/>
          <w:lang w:eastAsia="zh-CN"/>
        </w:rPr>
        <w:t>（</w:t>
      </w:r>
      <w:r>
        <w:rPr>
          <w:rFonts w:hint="eastAsia" w:ascii="仿宋_GB2312" w:hAnsi="仿宋_GB2312" w:eastAsia="仿宋_GB2312" w:cs="仿宋_GB2312"/>
          <w:color w:val="000000"/>
          <w:kern w:val="0"/>
          <w:sz w:val="32"/>
          <w:szCs w:val="32"/>
          <w:u w:val="none" w:color="auto"/>
        </w:rPr>
        <w:t>1）公务用车购置支出0万元。本年度使用财政拨款购置公务用车0辆。与上年决算相比，增加0万元，增长0%，变动原因：</w:t>
      </w:r>
      <w:r>
        <w:rPr>
          <w:rFonts w:hint="eastAsia" w:ascii="仿宋_GB2312" w:hAnsi="仿宋_GB2312" w:eastAsia="仿宋_GB2312" w:cs="仿宋_GB2312"/>
          <w:color w:val="000000"/>
          <w:kern w:val="0"/>
          <w:sz w:val="32"/>
          <w:szCs w:val="32"/>
          <w:u w:val="none" w:color="auto"/>
          <w:lang w:eastAsia="zh-CN"/>
        </w:rPr>
        <w:t>我单位不存在此项内容</w:t>
      </w:r>
      <w:r>
        <w:rPr>
          <w:rFonts w:hint="eastAsia" w:ascii="仿宋_GB2312" w:hAnsi="仿宋_GB2312" w:eastAsia="仿宋_GB2312" w:cs="仿宋_GB2312"/>
          <w:color w:val="000000"/>
          <w:kern w:val="0"/>
          <w:sz w:val="32"/>
          <w:szCs w:val="32"/>
          <w:u w:val="none" w:color="auto"/>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kern w:val="0"/>
          <w:sz w:val="32"/>
          <w:szCs w:val="32"/>
          <w:u w:val="none" w:color="auto"/>
        </w:rPr>
      </w:pPr>
      <w:r>
        <w:rPr>
          <w:rFonts w:hint="eastAsia" w:ascii="仿宋_GB2312" w:hAnsi="仿宋_GB2312" w:eastAsia="仿宋_GB2312" w:cs="仿宋_GB2312"/>
          <w:color w:val="000000"/>
          <w:kern w:val="0"/>
          <w:sz w:val="32"/>
          <w:szCs w:val="32"/>
          <w:u w:val="none" w:color="auto"/>
        </w:rPr>
        <w:t>（2）公务用车运行维护费支出0万元。公务用车运行维护费主要用于按规定保留的公务用车的燃料费、维修费、过桥过路费、保险费、安全奖励费用等支出。截至2024年12月31日，使用财政拨款开支的公务用车保有量为0辆。与上年决算相比，增加0万元，增长0%，变动原因：</w:t>
      </w:r>
      <w:r>
        <w:rPr>
          <w:rFonts w:hint="eastAsia" w:ascii="仿宋_GB2312" w:hAnsi="仿宋_GB2312" w:eastAsia="仿宋_GB2312" w:cs="仿宋_GB2312"/>
          <w:color w:val="000000"/>
          <w:kern w:val="0"/>
          <w:sz w:val="32"/>
          <w:szCs w:val="32"/>
          <w:u w:val="none" w:color="auto"/>
          <w:lang w:eastAsia="zh-CN"/>
        </w:rPr>
        <w:t>我单位不存在此项内容</w:t>
      </w:r>
      <w:r>
        <w:rPr>
          <w:rFonts w:hint="eastAsia" w:ascii="仿宋_GB2312" w:hAnsi="仿宋_GB2312" w:eastAsia="仿宋_GB2312" w:cs="仿宋_GB2312"/>
          <w:color w:val="000000"/>
          <w:kern w:val="0"/>
          <w:sz w:val="32"/>
          <w:szCs w:val="32"/>
          <w:u w:val="none" w:color="auto"/>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kern w:val="0"/>
          <w:sz w:val="32"/>
          <w:szCs w:val="32"/>
          <w:u w:val="none" w:color="auto"/>
        </w:rPr>
      </w:pPr>
      <w:r>
        <w:rPr>
          <w:rFonts w:hint="eastAsia" w:ascii="仿宋_GB2312" w:hAnsi="仿宋_GB2312" w:eastAsia="仿宋_GB2312" w:cs="仿宋_GB2312"/>
          <w:color w:val="000000"/>
          <w:kern w:val="0"/>
          <w:sz w:val="32"/>
          <w:szCs w:val="32"/>
          <w:u w:val="none" w:color="auto"/>
        </w:rPr>
        <w:t>3</w:t>
      </w:r>
      <w:r>
        <w:rPr>
          <w:rFonts w:hint="eastAsia" w:ascii="仿宋_GB2312" w:hAnsi="仿宋_GB2312" w:eastAsia="仿宋_GB2312" w:cs="仿宋_GB2312"/>
          <w:color w:val="000000"/>
          <w:kern w:val="0"/>
          <w:sz w:val="32"/>
          <w:szCs w:val="32"/>
          <w:u w:val="none" w:color="auto"/>
          <w:lang w:eastAsia="zh-CN"/>
        </w:rPr>
        <w:t>、</w:t>
      </w:r>
      <w:r>
        <w:rPr>
          <w:rFonts w:hint="eastAsia" w:ascii="仿宋_GB2312" w:hAnsi="仿宋_GB2312" w:eastAsia="仿宋_GB2312" w:cs="仿宋_GB2312"/>
          <w:color w:val="000000"/>
          <w:kern w:val="0"/>
          <w:sz w:val="32"/>
          <w:szCs w:val="32"/>
          <w:u w:val="none" w:color="auto"/>
        </w:rPr>
        <w:t>公务接待费支出0.30万元。其中：国内公务接待支出0.30万元</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，接待3批次，27人次，</w:t>
      </w:r>
      <w:r>
        <w:rPr>
          <w:rFonts w:hint="eastAsia" w:ascii="仿宋_GB2312" w:hAnsi="仿宋_GB2312" w:eastAsia="仿宋_GB2312" w:cs="仿宋_GB2312"/>
          <w:color w:val="000000"/>
          <w:kern w:val="0"/>
          <w:sz w:val="32"/>
          <w:szCs w:val="32"/>
          <w:u w:val="none" w:color="auto"/>
        </w:rPr>
        <w:t>开支内容：</w:t>
      </w:r>
      <w:r>
        <w:rPr>
          <w:rFonts w:hint="eastAsia" w:ascii="仿宋_GB2312" w:hAnsi="仿宋_GB2312" w:eastAsia="仿宋_GB2312" w:cs="仿宋_GB2312"/>
          <w:color w:val="auto"/>
          <w:kern w:val="2"/>
          <w:sz w:val="32"/>
          <w:szCs w:val="32"/>
          <w:u w:val="none" w:color="auto"/>
          <w:lang w:eastAsia="zh-CN"/>
        </w:rPr>
        <w:t>接待上级调研机构编制工作</w:t>
      </w:r>
      <w:r>
        <w:rPr>
          <w:rFonts w:hint="eastAsia" w:ascii="仿宋_GB2312" w:hAnsi="仿宋_GB2312" w:eastAsia="仿宋_GB2312" w:cs="仿宋_GB2312"/>
          <w:color w:val="000000"/>
          <w:kern w:val="0"/>
          <w:sz w:val="32"/>
          <w:szCs w:val="32"/>
          <w:u w:val="none" w:color="auto"/>
        </w:rPr>
        <w:t>；国（境）外公务接待支出0万元，接待0批次，0人次。与上年决算相比，增加0万元，增长0%，变动原因：</w:t>
      </w:r>
      <w:r>
        <w:rPr>
          <w:rFonts w:hint="eastAsia" w:ascii="仿宋_GB2312" w:hAnsi="仿宋_GB2312" w:eastAsia="仿宋_GB2312" w:cs="仿宋_GB2312"/>
          <w:color w:val="auto"/>
          <w:kern w:val="2"/>
          <w:sz w:val="32"/>
          <w:szCs w:val="32"/>
          <w:u w:val="none" w:color="auto"/>
          <w:lang w:eastAsia="zh-CN"/>
        </w:rPr>
        <w:t>我单位不存在此项内容</w:t>
      </w:r>
      <w:r>
        <w:rPr>
          <w:rFonts w:hint="eastAsia" w:ascii="仿宋_GB2312" w:hAnsi="仿宋_GB2312" w:eastAsia="仿宋_GB2312" w:cs="仿宋_GB2312"/>
          <w:color w:val="000000"/>
          <w:kern w:val="0"/>
          <w:sz w:val="32"/>
          <w:szCs w:val="32"/>
          <w:u w:val="none" w:color="auto"/>
        </w:rPr>
        <w:t>。</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ascii="Times New Roman" w:hAnsi="Times New Roman" w:eastAsia="Times New Roman" w:cs="Times New Roman"/>
          <w:kern w:val="0"/>
          <w:sz w:val="24"/>
          <w:u w:val="none" w:color="auto"/>
        </w:rPr>
      </w:pPr>
      <w:r>
        <w:rPr>
          <w:rFonts w:hint="eastAsia" w:ascii="黑体" w:hAnsi="黑体" w:eastAsia="黑体" w:cs="Times New Roman"/>
          <w:b/>
          <w:color w:val="auto"/>
          <w:kern w:val="2"/>
          <w:sz w:val="32"/>
          <w:szCs w:val="32"/>
          <w:u w:val="none" w:color="auto"/>
          <w:lang w:val="en-US" w:eastAsia="zh-CN"/>
        </w:rPr>
        <w:t>九、政府性基金预算财政拨款支出决算情况说明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kern w:val="0"/>
          <w:sz w:val="32"/>
          <w:szCs w:val="32"/>
          <w:u w:val="none" w:color="auto"/>
        </w:rPr>
      </w:pPr>
      <w:r>
        <w:rPr>
          <w:rFonts w:hint="eastAsia" w:ascii="仿宋_GB2312" w:hAnsi="仿宋_GB2312" w:eastAsia="仿宋_GB2312" w:cs="仿宋_GB2312"/>
          <w:color w:val="000000"/>
          <w:kern w:val="0"/>
          <w:sz w:val="32"/>
          <w:szCs w:val="32"/>
          <w:u w:val="none" w:color="auto"/>
        </w:rPr>
        <w:t>中共磴口县委员会机构编制委员会办公室</w:t>
      </w:r>
      <w:r>
        <w:rPr>
          <w:rFonts w:hint="eastAsia" w:ascii="仿宋_GB2312" w:hAnsi="仿宋_GB2312" w:eastAsia="仿宋_GB2312" w:cs="仿宋_GB2312"/>
          <w:color w:val="auto"/>
          <w:kern w:val="2"/>
          <w:sz w:val="32"/>
          <w:szCs w:val="32"/>
          <w:u w:val="none" w:color="auto"/>
        </w:rPr>
        <w:t>（部门）</w:t>
      </w:r>
      <w:r>
        <w:rPr>
          <w:rFonts w:hint="eastAsia" w:ascii="仿宋_GB2312" w:hAnsi="仿宋_GB2312" w:eastAsia="仿宋_GB2312" w:cs="仿宋_GB2312"/>
          <w:color w:val="000000"/>
          <w:kern w:val="0"/>
          <w:sz w:val="32"/>
          <w:szCs w:val="32"/>
          <w:u w:val="none" w:color="auto"/>
        </w:rPr>
        <w:t> 2024年度政府性基金预算财政拨款支出决算 0万元。与上年决算相比，增加0万元，增长0%，变动原因：</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本年无政府性基金预算财政拨款收、支、余</w:t>
      </w:r>
      <w:r>
        <w:rPr>
          <w:rFonts w:hint="eastAsia" w:ascii="仿宋_GB2312" w:hAnsi="仿宋_GB2312" w:eastAsia="仿宋_GB2312" w:cs="仿宋_GB2312"/>
          <w:color w:val="000000"/>
          <w:kern w:val="0"/>
          <w:sz w:val="32"/>
          <w:szCs w:val="32"/>
          <w:u w:val="none" w:color="auto"/>
        </w:rPr>
        <w:t>。</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黑体" w:hAnsi="黑体" w:eastAsia="黑体" w:cs="Times New Roman"/>
          <w:b/>
          <w:color w:val="auto"/>
          <w:kern w:val="2"/>
          <w:sz w:val="32"/>
          <w:szCs w:val="32"/>
          <w:u w:val="none" w:color="auto"/>
          <w:lang w:val="en-US" w:eastAsia="zh-CN"/>
        </w:rPr>
      </w:pPr>
      <w:r>
        <w:rPr>
          <w:rFonts w:hint="eastAsia" w:ascii="黑体" w:hAnsi="黑体" w:eastAsia="黑体" w:cs="Times New Roman"/>
          <w:b/>
          <w:color w:val="auto"/>
          <w:kern w:val="2"/>
          <w:sz w:val="32"/>
          <w:szCs w:val="32"/>
          <w:u w:val="none" w:color="auto"/>
          <w:lang w:val="en-US" w:eastAsia="zh-CN"/>
        </w:rPr>
        <w:t>十、国有资本经营预算财政拨款支出决算情况说明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pPr>
      <w:r>
        <w:rPr>
          <w:rFonts w:hint="eastAsia" w:ascii="仿宋_GB2312" w:hAnsi="仿宋_GB2312" w:eastAsia="仿宋_GB2312" w:cs="仿宋_GB2312"/>
          <w:color w:val="000000"/>
          <w:kern w:val="0"/>
          <w:sz w:val="32"/>
          <w:szCs w:val="32"/>
          <w:u w:val="none" w:color="auto"/>
        </w:rPr>
        <w:t>中共磴口县委员会机构编制委员会办公室</w:t>
      </w:r>
      <w:r>
        <w:rPr>
          <w:rFonts w:hint="eastAsia" w:ascii="仿宋_GB2312" w:hAnsi="仿宋_GB2312" w:eastAsia="仿宋_GB2312" w:cs="仿宋_GB2312"/>
          <w:color w:val="auto"/>
          <w:kern w:val="2"/>
          <w:sz w:val="32"/>
          <w:szCs w:val="32"/>
          <w:u w:val="none" w:color="auto"/>
        </w:rPr>
        <w:t>（部门）</w:t>
      </w:r>
      <w:r>
        <w:rPr>
          <w:rFonts w:hint="eastAsia" w:ascii="仿宋_GB2312" w:hAnsi="仿宋_GB2312" w:eastAsia="仿宋_GB2312" w:cs="仿宋_GB2312"/>
          <w:color w:val="000000"/>
          <w:kern w:val="0"/>
          <w:sz w:val="32"/>
          <w:szCs w:val="32"/>
          <w:u w:val="none" w:color="auto"/>
        </w:rPr>
        <w:t> 2024年度国有资本经营预算财政拨款支出决算 0万元。与上年决算相比，增加0万元，增长0%，变动原因：</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本年无国有资本经营预算财政拨款收、支、余。</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黑体" w:hAnsi="黑体" w:eastAsia="黑体" w:cs="Times New Roman"/>
          <w:b/>
          <w:color w:val="auto"/>
          <w:kern w:val="2"/>
          <w:sz w:val="32"/>
          <w:szCs w:val="32"/>
          <w:u w:val="none" w:color="auto"/>
          <w:lang w:val="en-US" w:eastAsia="zh-CN"/>
        </w:rPr>
      </w:pPr>
      <w:r>
        <w:rPr>
          <w:rFonts w:hint="eastAsia" w:ascii="黑体" w:hAnsi="黑体" w:eastAsia="黑体" w:cs="Times New Roman"/>
          <w:b/>
          <w:color w:val="auto"/>
          <w:kern w:val="2"/>
          <w:sz w:val="32"/>
          <w:szCs w:val="32"/>
          <w:u w:val="none" w:color="auto"/>
          <w:lang w:val="en-US" w:eastAsia="zh-CN"/>
        </w:rPr>
        <w:t>十一、机关运行经费（公用经费）支出决算情况说明</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hint="eastAsia" w:ascii="仿宋_GB2312" w:hAnsi="仿宋_GB2312" w:eastAsia="仿宋_GB2312" w:cs="仿宋_GB2312"/>
          <w:kern w:val="0"/>
          <w:sz w:val="32"/>
          <w:szCs w:val="32"/>
          <w:u w:val="none" w:color="auto"/>
        </w:rPr>
      </w:pPr>
      <w:r>
        <w:rPr>
          <w:rFonts w:hint="eastAsia" w:ascii="仿宋_GB2312" w:hAnsi="仿宋_GB2312" w:eastAsia="仿宋_GB2312" w:cs="仿宋_GB2312"/>
          <w:kern w:val="0"/>
          <w:sz w:val="27"/>
          <w:szCs w:val="27"/>
          <w:u w:val="none" w:color="auto"/>
        </w:rPr>
        <w:t> </w:t>
      </w:r>
      <w:r>
        <w:rPr>
          <w:rFonts w:hint="eastAsia" w:ascii="仿宋_GB2312" w:hAnsi="仿宋_GB2312" w:eastAsia="仿宋_GB2312" w:cs="仿宋_GB2312"/>
          <w:color w:val="000000"/>
          <w:kern w:val="0"/>
          <w:sz w:val="32"/>
          <w:szCs w:val="32"/>
          <w:u w:val="none" w:color="auto"/>
        </w:rPr>
        <w:t>中共磴口县委员会机构编制委员会办公</w:t>
      </w:r>
      <w:r>
        <w:rPr>
          <w:rFonts w:hint="eastAsia" w:ascii="仿宋_GB2312" w:hAnsi="仿宋_GB2312" w:eastAsia="仿宋_GB2312" w:cs="仿宋_GB2312"/>
          <w:color w:val="000000"/>
          <w:kern w:val="0"/>
          <w:sz w:val="32"/>
          <w:szCs w:val="32"/>
          <w:u w:val="none" w:color="auto"/>
          <w:lang w:val="en-US" w:eastAsia="zh-CN"/>
        </w:rPr>
        <w:t>室</w:t>
      </w:r>
      <w:r>
        <w:rPr>
          <w:rFonts w:hint="eastAsia" w:ascii="仿宋_GB2312" w:hAnsi="仿宋_GB2312" w:eastAsia="仿宋_GB2312" w:cs="仿宋_GB2312"/>
          <w:color w:val="auto"/>
          <w:kern w:val="2"/>
          <w:sz w:val="32"/>
          <w:szCs w:val="32"/>
          <w:u w:val="none" w:color="auto"/>
        </w:rPr>
        <w:t>（部门）</w:t>
      </w:r>
      <w:r>
        <w:rPr>
          <w:rFonts w:hint="eastAsia" w:ascii="仿宋_GB2312" w:hAnsi="仿宋_GB2312" w:eastAsia="仿宋_GB2312" w:cs="仿宋_GB2312"/>
          <w:color w:val="000000"/>
          <w:kern w:val="0"/>
          <w:sz w:val="32"/>
          <w:szCs w:val="32"/>
          <w:u w:val="none" w:color="auto"/>
        </w:rPr>
        <w:t>2024年度公用经费支出决算10.47万元，与上年决算相比，增加 1.41万元，增长15.56%，变动原因：</w:t>
      </w:r>
      <w:r>
        <w:rPr>
          <w:rFonts w:hint="eastAsia" w:ascii="仿宋_GB2312" w:hAnsi="仿宋_GB2312" w:eastAsia="仿宋_GB2312" w:cs="仿宋_GB2312"/>
          <w:color w:val="auto"/>
          <w:kern w:val="2"/>
          <w:sz w:val="32"/>
          <w:szCs w:val="32"/>
          <w:u w:val="none" w:color="auto"/>
          <w:lang w:val="en-US" w:eastAsia="zh-CN"/>
        </w:rPr>
        <w:t>人员增加导致公用经费增加</w:t>
      </w:r>
      <w:r>
        <w:rPr>
          <w:rFonts w:hint="eastAsia" w:ascii="仿宋_GB2312" w:hAnsi="仿宋_GB2312" w:eastAsia="仿宋_GB2312" w:cs="仿宋_GB2312"/>
          <w:color w:val="000000"/>
          <w:kern w:val="0"/>
          <w:sz w:val="32"/>
          <w:szCs w:val="32"/>
          <w:u w:val="none" w:color="auto"/>
        </w:rPr>
        <w:t>。其中，</w:t>
      </w:r>
      <w:bookmarkStart w:id="1" w:name="OLE_LINK1"/>
      <w:r>
        <w:rPr>
          <w:rFonts w:hint="eastAsia" w:ascii="仿宋_GB2312" w:hAnsi="仿宋_GB2312" w:eastAsia="仿宋_GB2312" w:cs="仿宋_GB2312"/>
          <w:color w:val="000000"/>
          <w:kern w:val="0"/>
          <w:sz w:val="32"/>
          <w:szCs w:val="32"/>
          <w:u w:val="none" w:color="auto"/>
        </w:rPr>
        <w:t>机关运行经费</w:t>
      </w:r>
      <w:bookmarkEnd w:id="1"/>
      <w:r>
        <w:rPr>
          <w:rFonts w:hint="eastAsia" w:ascii="仿宋_GB2312" w:hAnsi="仿宋_GB2312" w:eastAsia="仿宋_GB2312" w:cs="仿宋_GB2312"/>
          <w:color w:val="000000"/>
          <w:kern w:val="0"/>
          <w:sz w:val="32"/>
          <w:szCs w:val="32"/>
          <w:u w:val="none" w:color="auto"/>
        </w:rPr>
        <w:t>支出决算10.47万元。比上年决算相比，增加1.41万元，增长15.56%，变动原因：</w:t>
      </w:r>
      <w:r>
        <w:rPr>
          <w:rFonts w:hint="eastAsia" w:ascii="仿宋_GB2312" w:hAnsi="仿宋_GB2312" w:eastAsia="仿宋_GB2312" w:cs="仿宋_GB2312"/>
          <w:color w:val="auto"/>
          <w:kern w:val="2"/>
          <w:sz w:val="32"/>
          <w:szCs w:val="32"/>
          <w:u w:val="none" w:color="auto"/>
          <w:lang w:val="en-US" w:eastAsia="zh-CN"/>
        </w:rPr>
        <w:t>人员增加导致</w:t>
      </w:r>
      <w:r>
        <w:rPr>
          <w:rFonts w:hint="eastAsia" w:ascii="仿宋_GB2312" w:hAnsi="仿宋_GB2312" w:eastAsia="仿宋_GB2312" w:cs="仿宋_GB2312"/>
          <w:color w:val="000000"/>
          <w:kern w:val="0"/>
          <w:sz w:val="32"/>
          <w:szCs w:val="32"/>
          <w:u w:val="none" w:color="auto"/>
        </w:rPr>
        <w:t>机关运行经</w:t>
      </w:r>
      <w:r>
        <w:rPr>
          <w:rFonts w:hint="eastAsia" w:ascii="仿宋_GB2312" w:hAnsi="仿宋_GB2312" w:eastAsia="仿宋_GB2312" w:cs="仿宋_GB2312"/>
          <w:color w:val="auto"/>
          <w:kern w:val="2"/>
          <w:sz w:val="32"/>
          <w:szCs w:val="32"/>
          <w:u w:val="none" w:color="auto"/>
          <w:lang w:val="en-US" w:eastAsia="zh-CN"/>
        </w:rPr>
        <w:t>费增加</w:t>
      </w:r>
      <w:r>
        <w:rPr>
          <w:rFonts w:hint="eastAsia" w:ascii="仿宋_GB2312" w:hAnsi="仿宋_GB2312" w:eastAsia="仿宋_GB2312" w:cs="仿宋_GB2312"/>
          <w:color w:val="000000"/>
          <w:kern w:val="0"/>
          <w:sz w:val="32"/>
          <w:szCs w:val="32"/>
          <w:u w:val="none" w:color="auto"/>
        </w:rPr>
        <w:t>。</w:t>
      </w:r>
    </w:p>
    <w:p>
      <w:pPr>
        <w:keepNext w:val="0"/>
        <w:keepLines w:val="0"/>
        <w:pageBreakBefore w:val="0"/>
        <w:widowControl/>
        <w:wordWrap/>
        <w:overflowPunct/>
        <w:topLinePunct w:val="0"/>
        <w:bidi w:val="0"/>
        <w:spacing w:line="360" w:lineRule="auto"/>
        <w:rPr>
          <w:rFonts w:hint="eastAsia" w:ascii="黑体" w:hAnsi="黑体" w:eastAsia="黑体" w:cs="Times New Roman"/>
          <w:b/>
          <w:color w:val="auto"/>
          <w:kern w:val="2"/>
          <w:sz w:val="32"/>
          <w:szCs w:val="32"/>
          <w:u w:val="none" w:color="auto"/>
          <w:lang w:val="en-US" w:eastAsia="zh-CN"/>
        </w:rPr>
      </w:pPr>
      <w:r>
        <w:rPr>
          <w:rFonts w:ascii="仿宋_GB2312" w:hAnsi="仿宋_GB2312" w:eastAsia="仿宋_GB2312" w:cs="仿宋_GB2312"/>
          <w:color w:val="1200FF"/>
          <w:kern w:val="0"/>
          <w:sz w:val="27"/>
          <w:szCs w:val="27"/>
          <w:u w:val="none" w:color="auto"/>
        </w:rPr>
        <w:t>   </w:t>
      </w:r>
      <w:r>
        <w:rPr>
          <w:rFonts w:ascii="Calibri" w:hAnsi="Calibri" w:eastAsia="Calibri" w:cs="Calibri"/>
          <w:b/>
          <w:bCs/>
          <w:kern w:val="0"/>
          <w:sz w:val="27"/>
          <w:szCs w:val="27"/>
          <w:u w:val="none" w:color="auto"/>
        </w:rPr>
        <w:t> </w:t>
      </w:r>
      <w:r>
        <w:rPr>
          <w:rFonts w:ascii="黑体" w:hAnsi="黑体" w:eastAsia="黑体" w:cs="黑体"/>
          <w:b/>
          <w:bCs/>
          <w:kern w:val="0"/>
          <w:sz w:val="27"/>
          <w:szCs w:val="27"/>
          <w:u w:val="none" w:color="auto"/>
        </w:rPr>
        <w:t xml:space="preserve"> </w:t>
      </w:r>
      <w:r>
        <w:rPr>
          <w:rFonts w:ascii="Calibri" w:hAnsi="Calibri" w:eastAsia="Calibri" w:cs="Calibri"/>
          <w:b/>
          <w:bCs/>
          <w:kern w:val="0"/>
          <w:sz w:val="27"/>
          <w:szCs w:val="27"/>
          <w:u w:val="none" w:color="auto"/>
        </w:rPr>
        <w:t> </w:t>
      </w:r>
      <w:r>
        <w:rPr>
          <w:rFonts w:ascii="黑体" w:hAnsi="黑体" w:eastAsia="黑体" w:cs="黑体"/>
          <w:b/>
          <w:bCs/>
          <w:kern w:val="0"/>
          <w:sz w:val="27"/>
          <w:szCs w:val="27"/>
          <w:u w:val="none" w:color="auto"/>
        </w:rPr>
        <w:t xml:space="preserve"> </w:t>
      </w:r>
      <w:r>
        <w:rPr>
          <w:rFonts w:hint="eastAsia" w:ascii="黑体" w:hAnsi="黑体" w:eastAsia="黑体" w:cs="Times New Roman"/>
          <w:b/>
          <w:color w:val="auto"/>
          <w:kern w:val="2"/>
          <w:sz w:val="32"/>
          <w:szCs w:val="32"/>
          <w:u w:val="none" w:color="auto"/>
          <w:lang w:val="en-US" w:eastAsia="zh-CN"/>
        </w:rPr>
        <w:t>十二、政府采购支出决算情况说明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kern w:val="0"/>
          <w:sz w:val="32"/>
          <w:szCs w:val="32"/>
          <w:u w:val="none" w:color="auto"/>
        </w:rPr>
      </w:pPr>
      <w:r>
        <w:rPr>
          <w:rFonts w:hint="eastAsia" w:ascii="仿宋_GB2312" w:hAnsi="仿宋_GB2312" w:eastAsia="仿宋_GB2312" w:cs="仿宋_GB2312"/>
          <w:color w:val="000000"/>
          <w:kern w:val="0"/>
          <w:sz w:val="32"/>
          <w:szCs w:val="32"/>
          <w:u w:val="none" w:color="auto"/>
        </w:rPr>
        <w:t>中共磴口县委员会机构编制委员会办公室</w:t>
      </w:r>
      <w:bookmarkStart w:id="2" w:name="OLE_LINK2"/>
      <w:r>
        <w:rPr>
          <w:rFonts w:hint="eastAsia" w:ascii="仿宋_GB2312" w:hAnsi="仿宋_GB2312" w:eastAsia="仿宋_GB2312" w:cs="仿宋_GB2312"/>
          <w:color w:val="000000"/>
          <w:kern w:val="0"/>
          <w:sz w:val="32"/>
          <w:szCs w:val="32"/>
          <w:u w:val="none" w:color="auto"/>
          <w:lang w:eastAsia="zh-CN"/>
        </w:rPr>
        <w:t>（</w:t>
      </w:r>
      <w:r>
        <w:rPr>
          <w:rFonts w:hint="eastAsia" w:ascii="仿宋_GB2312" w:hAnsi="仿宋_GB2312" w:eastAsia="仿宋_GB2312" w:cs="仿宋_GB2312"/>
          <w:color w:val="000000"/>
          <w:kern w:val="0"/>
          <w:sz w:val="32"/>
          <w:szCs w:val="32"/>
          <w:u w:val="none" w:color="auto"/>
          <w:lang w:val="en-US" w:eastAsia="zh-CN"/>
        </w:rPr>
        <w:t>部门</w:t>
      </w:r>
      <w:r>
        <w:rPr>
          <w:rFonts w:hint="eastAsia" w:ascii="仿宋_GB2312" w:hAnsi="仿宋_GB2312" w:eastAsia="仿宋_GB2312" w:cs="仿宋_GB2312"/>
          <w:color w:val="000000"/>
          <w:kern w:val="0"/>
          <w:sz w:val="32"/>
          <w:szCs w:val="32"/>
          <w:u w:val="none" w:color="auto"/>
          <w:lang w:eastAsia="zh-CN"/>
        </w:rPr>
        <w:t>）</w:t>
      </w:r>
      <w:bookmarkEnd w:id="2"/>
      <w:r>
        <w:rPr>
          <w:rFonts w:hint="eastAsia" w:ascii="仿宋_GB2312" w:hAnsi="仿宋_GB2312" w:eastAsia="仿宋_GB2312" w:cs="仿宋_GB2312"/>
          <w:color w:val="000000"/>
          <w:kern w:val="0"/>
          <w:sz w:val="32"/>
          <w:szCs w:val="32"/>
          <w:u w:val="none" w:color="auto"/>
        </w:rPr>
        <w:t> 2024年度政府采购支出总额 3.33万元，其中：政府采购货物支出 3.33万元、政府采购工程支出 0万元、政府采购服务支出 0万元。政府采购授予中小企业合同金额 0万元，占政府采购支出总额的</w:t>
      </w:r>
      <w:r>
        <w:rPr>
          <w:rFonts w:hint="eastAsia" w:ascii="仿宋_GB2312" w:hAnsi="仿宋_GB2312" w:eastAsia="仿宋_GB2312" w:cs="仿宋_GB2312"/>
          <w:color w:val="000000"/>
          <w:kern w:val="0"/>
          <w:sz w:val="32"/>
          <w:szCs w:val="32"/>
          <w:u w:val="none" w:color="auto"/>
          <w:lang w:val="en-US" w:eastAsia="zh-CN"/>
        </w:rPr>
        <w:t>0</w:t>
      </w:r>
      <w:r>
        <w:rPr>
          <w:rFonts w:hint="eastAsia" w:ascii="仿宋_GB2312" w:hAnsi="仿宋_GB2312" w:eastAsia="仿宋_GB2312" w:cs="仿宋_GB2312"/>
          <w:color w:val="000000"/>
          <w:kern w:val="0"/>
          <w:sz w:val="32"/>
          <w:szCs w:val="32"/>
          <w:u w:val="none" w:color="auto"/>
        </w:rPr>
        <w:t>%，其中：授予小微企业合同金额 0万元，占政府采购支出总额的</w:t>
      </w:r>
      <w:r>
        <w:rPr>
          <w:rFonts w:hint="eastAsia" w:ascii="仿宋_GB2312" w:hAnsi="仿宋_GB2312" w:eastAsia="仿宋_GB2312" w:cs="仿宋_GB2312"/>
          <w:color w:val="000000"/>
          <w:kern w:val="0"/>
          <w:sz w:val="32"/>
          <w:szCs w:val="32"/>
          <w:u w:val="none" w:color="auto"/>
          <w:lang w:val="en-US" w:eastAsia="zh-CN"/>
        </w:rPr>
        <w:t>0</w:t>
      </w:r>
      <w:r>
        <w:rPr>
          <w:rFonts w:hint="eastAsia" w:ascii="仿宋_GB2312" w:hAnsi="仿宋_GB2312" w:eastAsia="仿宋_GB2312" w:cs="仿宋_GB2312"/>
          <w:color w:val="000000"/>
          <w:kern w:val="0"/>
          <w:sz w:val="32"/>
          <w:szCs w:val="32"/>
          <w:u w:val="none" w:color="auto"/>
        </w:rPr>
        <w:t>%；货物采购授予中小企业合同金额占货物支出金额的</w:t>
      </w:r>
      <w:r>
        <w:rPr>
          <w:rFonts w:hint="eastAsia" w:ascii="仿宋_GB2312" w:hAnsi="仿宋_GB2312" w:eastAsia="仿宋_GB2312" w:cs="仿宋_GB2312"/>
          <w:color w:val="000000"/>
          <w:kern w:val="0"/>
          <w:sz w:val="32"/>
          <w:szCs w:val="32"/>
          <w:u w:val="none" w:color="auto"/>
          <w:lang w:val="en-US" w:eastAsia="zh-CN"/>
        </w:rPr>
        <w:t>0</w:t>
      </w:r>
      <w:r>
        <w:rPr>
          <w:rFonts w:hint="eastAsia" w:ascii="仿宋_GB2312" w:hAnsi="仿宋_GB2312" w:eastAsia="仿宋_GB2312" w:cs="仿宋_GB2312"/>
          <w:color w:val="000000"/>
          <w:kern w:val="0"/>
          <w:sz w:val="32"/>
          <w:szCs w:val="32"/>
          <w:u w:val="none" w:color="auto"/>
        </w:rPr>
        <w:t>%，工程采购授予中小企业合同金额占工程支出金额的</w:t>
      </w:r>
      <w:r>
        <w:rPr>
          <w:rFonts w:hint="eastAsia" w:ascii="仿宋_GB2312" w:hAnsi="仿宋_GB2312" w:eastAsia="仿宋_GB2312" w:cs="仿宋_GB2312"/>
          <w:color w:val="000000"/>
          <w:kern w:val="0"/>
          <w:sz w:val="32"/>
          <w:szCs w:val="32"/>
          <w:u w:val="none" w:color="auto"/>
          <w:lang w:val="en-US" w:eastAsia="zh-CN"/>
        </w:rPr>
        <w:t>0</w:t>
      </w:r>
      <w:r>
        <w:rPr>
          <w:rFonts w:hint="eastAsia" w:ascii="仿宋_GB2312" w:hAnsi="仿宋_GB2312" w:eastAsia="仿宋_GB2312" w:cs="仿宋_GB2312"/>
          <w:color w:val="000000"/>
          <w:kern w:val="0"/>
          <w:sz w:val="32"/>
          <w:szCs w:val="32"/>
          <w:u w:val="none" w:color="auto"/>
        </w:rPr>
        <w:t>%，服务采购授予中小企业合同金额占服务支出金额的</w:t>
      </w:r>
      <w:r>
        <w:rPr>
          <w:rFonts w:hint="eastAsia" w:ascii="仿宋_GB2312" w:hAnsi="仿宋_GB2312" w:eastAsia="仿宋_GB2312" w:cs="仿宋_GB2312"/>
          <w:color w:val="000000"/>
          <w:kern w:val="0"/>
          <w:sz w:val="32"/>
          <w:szCs w:val="32"/>
          <w:u w:val="none" w:color="auto"/>
          <w:lang w:val="en-US" w:eastAsia="zh-CN"/>
        </w:rPr>
        <w:t>0</w:t>
      </w:r>
      <w:r>
        <w:rPr>
          <w:rFonts w:hint="eastAsia" w:ascii="仿宋_GB2312" w:hAnsi="仿宋_GB2312" w:eastAsia="仿宋_GB2312" w:cs="仿宋_GB2312"/>
          <w:color w:val="000000"/>
          <w:kern w:val="0"/>
          <w:sz w:val="32"/>
          <w:szCs w:val="32"/>
          <w:u w:val="none" w:color="auto"/>
        </w:rPr>
        <w:t>%。</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黑体" w:hAnsi="黑体" w:eastAsia="黑体" w:cs="Times New Roman"/>
          <w:b/>
          <w:color w:val="auto"/>
          <w:kern w:val="2"/>
          <w:sz w:val="32"/>
          <w:szCs w:val="32"/>
          <w:u w:val="none" w:color="auto"/>
          <w:lang w:val="en-US" w:eastAsia="zh-CN"/>
        </w:rPr>
      </w:pPr>
      <w:r>
        <w:rPr>
          <w:rFonts w:hint="eastAsia" w:ascii="黑体" w:hAnsi="黑体" w:eastAsia="黑体" w:cs="Times New Roman"/>
          <w:b/>
          <w:color w:val="auto"/>
          <w:kern w:val="2"/>
          <w:sz w:val="32"/>
          <w:szCs w:val="32"/>
          <w:u w:val="none" w:color="auto"/>
          <w:lang w:val="en-US" w:eastAsia="zh-CN"/>
        </w:rPr>
        <w:t>十三、国有资产占用情况说明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kern w:val="0"/>
          <w:sz w:val="32"/>
          <w:szCs w:val="32"/>
          <w:u w:val="none" w:color="auto"/>
        </w:rPr>
      </w:pPr>
      <w:r>
        <w:rPr>
          <w:rFonts w:hint="eastAsia" w:ascii="仿宋_GB2312" w:hAnsi="仿宋_GB2312" w:eastAsia="仿宋_GB2312" w:cs="仿宋_GB2312"/>
          <w:color w:val="000000"/>
          <w:kern w:val="0"/>
          <w:sz w:val="32"/>
          <w:szCs w:val="32"/>
          <w:u w:val="none" w:color="auto"/>
        </w:rPr>
        <w:t>中共磴口县委员会机构编制委员会办公室</w:t>
      </w:r>
      <w:r>
        <w:rPr>
          <w:rFonts w:hint="eastAsia" w:ascii="仿宋_GB2312" w:hAnsi="仿宋_GB2312" w:eastAsia="仿宋_GB2312" w:cs="仿宋_GB2312"/>
          <w:color w:val="000000"/>
          <w:kern w:val="0"/>
          <w:sz w:val="32"/>
          <w:szCs w:val="32"/>
          <w:u w:val="none" w:color="auto"/>
          <w:lang w:eastAsia="zh-CN"/>
        </w:rPr>
        <w:t>（</w:t>
      </w:r>
      <w:r>
        <w:rPr>
          <w:rFonts w:hint="eastAsia" w:ascii="仿宋_GB2312" w:hAnsi="仿宋_GB2312" w:eastAsia="仿宋_GB2312" w:cs="仿宋_GB2312"/>
          <w:color w:val="000000"/>
          <w:kern w:val="0"/>
          <w:sz w:val="32"/>
          <w:szCs w:val="32"/>
          <w:u w:val="none" w:color="auto"/>
          <w:lang w:val="en-US" w:eastAsia="zh-CN"/>
        </w:rPr>
        <w:t>部门</w:t>
      </w:r>
      <w:r>
        <w:rPr>
          <w:rFonts w:hint="eastAsia" w:ascii="仿宋_GB2312" w:hAnsi="仿宋_GB2312" w:eastAsia="仿宋_GB2312" w:cs="仿宋_GB2312"/>
          <w:color w:val="000000"/>
          <w:kern w:val="0"/>
          <w:sz w:val="32"/>
          <w:szCs w:val="32"/>
          <w:u w:val="none" w:color="auto"/>
          <w:lang w:eastAsia="zh-CN"/>
        </w:rPr>
        <w:t>）</w:t>
      </w:r>
      <w:r>
        <w:rPr>
          <w:rFonts w:hint="eastAsia" w:ascii="仿宋_GB2312" w:hAnsi="仿宋_GB2312" w:eastAsia="仿宋_GB2312" w:cs="仿宋_GB2312"/>
          <w:color w:val="000000"/>
          <w:kern w:val="0"/>
          <w:sz w:val="32"/>
          <w:szCs w:val="32"/>
          <w:u w:val="none" w:color="auto"/>
        </w:rPr>
        <w:t>截至2024年12月31日，本部门共有车辆 0辆，其中：副部（省）级及以上领导用车0 辆、主要负责人用车 0辆、机要通信用车 0辆、应急保障用车 0辆、执法执勤用车 0辆、特种专业技术用车 0辆、离退休干部服务用车 0辆，其他用车 0辆；单价100万元（含）以上的设备（不含车辆） 0台（套）。</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黑体" w:hAnsi="黑体" w:eastAsia="黑体" w:cs="Times New Roman"/>
          <w:b/>
          <w:color w:val="auto"/>
          <w:kern w:val="2"/>
          <w:sz w:val="32"/>
          <w:szCs w:val="32"/>
          <w:u w:val="none" w:color="auto"/>
          <w:lang w:val="en-US" w:eastAsia="zh-CN"/>
        </w:rPr>
      </w:pPr>
      <w:r>
        <w:rPr>
          <w:rFonts w:hint="eastAsia" w:ascii="黑体" w:hAnsi="黑体" w:eastAsia="黑体" w:cs="Times New Roman"/>
          <w:b/>
          <w:color w:val="auto"/>
          <w:kern w:val="2"/>
          <w:sz w:val="32"/>
          <w:szCs w:val="32"/>
          <w:u w:val="none" w:color="auto"/>
          <w:lang w:val="en-US" w:eastAsia="zh-CN"/>
        </w:rPr>
        <w:t>十四、预算绩效情况说明</w:t>
      </w:r>
    </w:p>
    <w:p>
      <w:pPr>
        <w:keepNext w:val="0"/>
        <w:keepLines w:val="0"/>
        <w:pageBreakBefore w:val="0"/>
        <w:widowControl/>
        <w:wordWrap/>
        <w:overflowPunct/>
        <w:topLinePunct w:val="0"/>
        <w:bidi w:val="0"/>
        <w:spacing w:line="360" w:lineRule="auto"/>
        <w:jc w:val="left"/>
        <w:rPr>
          <w:rFonts w:hint="eastAsia" w:ascii="楷体" w:hAnsi="楷体" w:eastAsia="楷体" w:cs="楷体"/>
          <w:b/>
          <w:bCs/>
          <w:kern w:val="0"/>
          <w:sz w:val="32"/>
          <w:szCs w:val="32"/>
          <w:u w:val="none" w:color="auto"/>
        </w:rPr>
      </w:pPr>
      <w:r>
        <w:rPr>
          <w:rFonts w:ascii="kai_ti_gb2312" w:hAnsi="kai_ti_gb2312" w:eastAsia="kai_ti_gb2312" w:cs="kai_ti_gb2312"/>
          <w:b/>
          <w:bCs/>
          <w:kern w:val="0"/>
          <w:sz w:val="27"/>
          <w:szCs w:val="27"/>
          <w:u w:val="none" w:color="auto"/>
        </w:rPr>
        <w:t xml:space="preserve">    </w:t>
      </w:r>
      <w:r>
        <w:rPr>
          <w:rFonts w:hint="eastAsia" w:ascii="楷体" w:hAnsi="楷体" w:eastAsia="楷体" w:cs="楷体"/>
          <w:b/>
          <w:bCs/>
          <w:kern w:val="0"/>
          <w:sz w:val="32"/>
          <w:szCs w:val="32"/>
          <w:u w:val="none" w:color="auto"/>
        </w:rPr>
        <w:t>（一）预算绩效管理工作开展情况</w:t>
      </w:r>
    </w:p>
    <w:p>
      <w:pPr>
        <w:keepNext w:val="0"/>
        <w:keepLines w:val="0"/>
        <w:pageBreakBefore w:val="0"/>
        <w:wordWrap/>
        <w:overflowPunct/>
        <w:topLinePunct w:val="0"/>
        <w:bidi w:val="0"/>
        <w:spacing w:line="360" w:lineRule="auto"/>
        <w:ind w:firstLine="600"/>
        <w:rPr>
          <w:rFonts w:hint="eastAsia" w:ascii="仿宋_GB2312" w:hAnsi="仿宋_GB2312" w:eastAsia="仿宋_GB2312" w:cs="仿宋_GB2312"/>
          <w:color w:val="1200FF"/>
          <w:kern w:val="0"/>
          <w:sz w:val="32"/>
          <w:szCs w:val="32"/>
          <w:u w:val="none" w:color="auto"/>
        </w:rPr>
      </w:pPr>
      <w:r>
        <w:rPr>
          <w:rFonts w:hint="eastAsia" w:ascii="仿宋_GB2312" w:hAnsi="仿宋_GB2312" w:eastAsia="仿宋_GB2312" w:cs="仿宋_GB2312"/>
          <w:color w:val="000000"/>
          <w:kern w:val="0"/>
          <w:sz w:val="32"/>
          <w:szCs w:val="32"/>
          <w:u w:val="none" w:color="auto"/>
        </w:rPr>
        <w:t>中共磴口县委员会机构编制委员会办公室</w:t>
      </w:r>
      <w:bookmarkStart w:id="3" w:name="OLE_LINK4"/>
      <w:r>
        <w:rPr>
          <w:rFonts w:hint="eastAsia" w:ascii="仿宋_GB2312" w:hAnsi="仿宋_GB2312" w:eastAsia="仿宋_GB2312" w:cs="仿宋_GB2312"/>
          <w:color w:val="000000"/>
          <w:kern w:val="0"/>
          <w:sz w:val="32"/>
          <w:szCs w:val="32"/>
          <w:u w:val="none" w:color="auto"/>
          <w:lang w:eastAsia="zh-CN"/>
        </w:rPr>
        <w:t>（</w:t>
      </w:r>
      <w:r>
        <w:rPr>
          <w:rFonts w:hint="eastAsia" w:ascii="仿宋_GB2312" w:hAnsi="仿宋_GB2312" w:eastAsia="仿宋_GB2312" w:cs="仿宋_GB2312"/>
          <w:color w:val="000000"/>
          <w:kern w:val="0"/>
          <w:sz w:val="32"/>
          <w:szCs w:val="32"/>
          <w:u w:val="none" w:color="auto"/>
          <w:lang w:val="en-US" w:eastAsia="zh-CN"/>
        </w:rPr>
        <w:t>部门</w:t>
      </w:r>
      <w:r>
        <w:rPr>
          <w:rFonts w:hint="eastAsia" w:ascii="仿宋_GB2312" w:hAnsi="仿宋_GB2312" w:eastAsia="仿宋_GB2312" w:cs="仿宋_GB2312"/>
          <w:color w:val="000000"/>
          <w:kern w:val="0"/>
          <w:sz w:val="32"/>
          <w:szCs w:val="32"/>
          <w:u w:val="none" w:color="auto"/>
          <w:lang w:eastAsia="zh-CN"/>
        </w:rPr>
        <w:t>）</w:t>
      </w:r>
      <w:bookmarkEnd w:id="3"/>
      <w:r>
        <w:rPr>
          <w:rFonts w:hint="eastAsia" w:ascii="仿宋_GB2312" w:hAnsi="仿宋_GB2312" w:eastAsia="仿宋_GB2312" w:cs="仿宋_GB2312"/>
          <w:color w:val="000000"/>
          <w:kern w:val="0"/>
          <w:sz w:val="32"/>
          <w:szCs w:val="32"/>
          <w:u w:val="none" w:color="auto"/>
        </w:rPr>
        <w:t>根据预算绩效管理要求组织对2024年一般公共预算项目支出全面开展绩效自评，其中一级项目</w:t>
      </w:r>
      <w:r>
        <w:rPr>
          <w:rFonts w:hint="eastAsia" w:ascii="仿宋_GB2312" w:hAnsi="仿宋_GB2312" w:eastAsia="仿宋_GB2312" w:cs="仿宋_GB2312"/>
          <w:color w:val="000000"/>
          <w:kern w:val="0"/>
          <w:sz w:val="32"/>
          <w:szCs w:val="32"/>
          <w:u w:val="none" w:color="auto"/>
          <w:lang w:val="en-US" w:eastAsia="zh-CN"/>
        </w:rPr>
        <w:t>1</w:t>
      </w:r>
      <w:r>
        <w:rPr>
          <w:rFonts w:hint="eastAsia" w:ascii="仿宋_GB2312" w:hAnsi="仿宋_GB2312" w:eastAsia="仿宋_GB2312" w:cs="仿宋_GB2312"/>
          <w:color w:val="000000"/>
          <w:kern w:val="0"/>
          <w:sz w:val="32"/>
          <w:szCs w:val="32"/>
          <w:u w:val="none" w:color="auto"/>
        </w:rPr>
        <w:t>个，共涉及资金</w:t>
      </w:r>
      <w:r>
        <w:rPr>
          <w:rFonts w:hint="eastAsia" w:ascii="仿宋_GB2312" w:hAnsi="仿宋_GB2312" w:eastAsia="仿宋_GB2312" w:cs="仿宋_GB2312"/>
          <w:color w:val="000000"/>
          <w:kern w:val="0"/>
          <w:sz w:val="32"/>
          <w:szCs w:val="32"/>
          <w:u w:val="none" w:color="auto"/>
          <w:lang w:val="en-US" w:eastAsia="zh-CN"/>
        </w:rPr>
        <w:t>10</w:t>
      </w:r>
      <w:r>
        <w:rPr>
          <w:rFonts w:hint="eastAsia" w:ascii="仿宋_GB2312" w:hAnsi="仿宋_GB2312" w:eastAsia="仿宋_GB2312" w:cs="仿宋_GB2312"/>
          <w:color w:val="000000"/>
          <w:kern w:val="0"/>
          <w:sz w:val="32"/>
          <w:szCs w:val="32"/>
          <w:u w:val="none" w:color="auto"/>
        </w:rPr>
        <w:t>万元，占一般公共预算项目支出总额的100%</w:t>
      </w:r>
      <w:r>
        <w:rPr>
          <w:rFonts w:hint="eastAsia" w:ascii="仿宋_GB2312" w:hAnsi="仿宋_GB2312" w:eastAsia="仿宋_GB2312" w:cs="仿宋_GB2312"/>
          <w:color w:val="000000"/>
          <w:kern w:val="0"/>
          <w:sz w:val="32"/>
          <w:szCs w:val="32"/>
          <w:u w:val="none" w:color="auto"/>
          <w:lang w:val="en-US" w:eastAsia="zh-CN"/>
        </w:rPr>
        <w:t>;</w:t>
      </w:r>
      <w:r>
        <w:rPr>
          <w:rFonts w:hint="eastAsia" w:ascii="仿宋_GB2312" w:hAnsi="仿宋_GB2312" w:eastAsia="仿宋_GB2312" w:cs="仿宋_GB2312"/>
          <w:color w:val="auto"/>
          <w:sz w:val="32"/>
          <w:szCs w:val="32"/>
        </w:rPr>
        <w:t>政府性基金预算项目</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个，共涉及资金</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万元，占应纳入绩效自评的政府性基金预算项目支出总额的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1200FF"/>
          <w:kern w:val="0"/>
          <w:sz w:val="32"/>
          <w:szCs w:val="32"/>
          <w:u w:val="none" w:color="auto"/>
        </w:rPr>
        <w:t>。</w:t>
      </w:r>
    </w:p>
    <w:p>
      <w:pPr>
        <w:keepNext w:val="0"/>
        <w:keepLines w:val="0"/>
        <w:pageBreakBefore w:val="0"/>
        <w:wordWrap/>
        <w:overflowPunct/>
        <w:topLinePunct w:val="0"/>
        <w:bidi w:val="0"/>
        <w:spacing w:line="360" w:lineRule="auto"/>
        <w:ind w:firstLine="600"/>
        <w:rPr>
          <w:rFonts w:hint="eastAsia" w:ascii="仿宋_GB2312" w:hAnsi="仿宋_GB2312" w:eastAsia="仿宋_GB2312" w:cs="仿宋_GB2312"/>
          <w:kern w:val="0"/>
          <w:sz w:val="32"/>
          <w:szCs w:val="32"/>
          <w:u w:val="none" w:color="auto"/>
        </w:rPr>
      </w:pPr>
      <w:r>
        <w:rPr>
          <w:rFonts w:hint="eastAsia" w:ascii="仿宋_GB2312" w:hAnsi="仿宋_GB2312" w:eastAsia="仿宋_GB2312" w:cs="仿宋_GB2312"/>
          <w:color w:val="auto"/>
          <w:sz w:val="32"/>
          <w:szCs w:val="32"/>
          <w:lang w:eastAsia="zh-CN"/>
        </w:rPr>
        <w:t>我单位不存在</w:t>
      </w:r>
      <w:r>
        <w:rPr>
          <w:rFonts w:hint="eastAsia" w:ascii="仿宋_GB2312" w:hAnsi="仿宋_GB2312" w:eastAsia="仿宋_GB2312" w:cs="仿宋_GB2312"/>
          <w:color w:val="auto"/>
          <w:sz w:val="32"/>
          <w:szCs w:val="32"/>
        </w:rPr>
        <w:t>国有资本经营预算、社保基金预算、政府债务项目、政府投资基金项目、PPP项目和政府采购及政府购买服务</w:t>
      </w:r>
      <w:r>
        <w:rPr>
          <w:rFonts w:hint="eastAsia" w:ascii="仿宋_GB2312" w:hAnsi="仿宋_GB2312" w:eastAsia="仿宋_GB2312" w:cs="仿宋_GB2312"/>
          <w:color w:val="auto"/>
          <w:sz w:val="32"/>
          <w:szCs w:val="32"/>
          <w:lang w:eastAsia="zh-CN"/>
        </w:rPr>
        <w:t>等项目。</w:t>
      </w:r>
    </w:p>
    <w:p>
      <w:pPr>
        <w:keepNext w:val="0"/>
        <w:keepLines w:val="0"/>
        <w:pageBreakBefore w:val="0"/>
        <w:wordWrap/>
        <w:overflowPunct/>
        <w:topLinePunct w:val="0"/>
        <w:bidi w:val="0"/>
        <w:spacing w:line="360" w:lineRule="auto"/>
        <w:ind w:firstLine="600"/>
        <w:rPr>
          <w:rFonts w:hint="eastAsia" w:ascii="仿宋_GB2312" w:hAnsi="仿宋_GB2312" w:eastAsia="仿宋_GB2312" w:cs="仿宋_GB2312"/>
          <w:kern w:val="0"/>
          <w:sz w:val="32"/>
          <w:szCs w:val="32"/>
          <w:u w:val="none" w:color="auto"/>
        </w:rPr>
      </w:pPr>
      <w:r>
        <w:rPr>
          <w:rFonts w:hint="eastAsia" w:ascii="仿宋_GB2312" w:hAnsi="仿宋_GB2312" w:eastAsia="仿宋_GB2312" w:cs="仿宋_GB2312"/>
          <w:color w:val="000000"/>
          <w:kern w:val="0"/>
          <w:sz w:val="32"/>
          <w:szCs w:val="32"/>
          <w:u w:val="none" w:color="auto"/>
        </w:rPr>
        <w:t> 组织对“机构改革工作经费” </w:t>
      </w:r>
      <w:r>
        <w:rPr>
          <w:rFonts w:hint="eastAsia" w:ascii="仿宋_GB2312" w:hAnsi="仿宋_GB2312" w:eastAsia="仿宋_GB2312" w:cs="仿宋_GB2312"/>
          <w:color w:val="000000"/>
          <w:kern w:val="0"/>
          <w:sz w:val="32"/>
          <w:szCs w:val="32"/>
          <w:u w:val="none" w:color="auto"/>
          <w:lang w:val="en-US" w:eastAsia="zh-CN"/>
        </w:rPr>
        <w:t>1</w:t>
      </w:r>
      <w:r>
        <w:rPr>
          <w:rFonts w:hint="eastAsia" w:ascii="仿宋_GB2312" w:hAnsi="仿宋_GB2312" w:eastAsia="仿宋_GB2312" w:cs="仿宋_GB2312"/>
          <w:color w:val="000000"/>
          <w:kern w:val="0"/>
          <w:sz w:val="32"/>
          <w:szCs w:val="32"/>
          <w:u w:val="none" w:color="auto"/>
        </w:rPr>
        <w:t>个项目开展了部门评价，涉及一般公共预算支出</w:t>
      </w:r>
      <w:r>
        <w:rPr>
          <w:rFonts w:hint="eastAsia" w:ascii="仿宋_GB2312" w:hAnsi="仿宋_GB2312" w:eastAsia="仿宋_GB2312" w:cs="仿宋_GB2312"/>
          <w:color w:val="000000"/>
          <w:kern w:val="0"/>
          <w:sz w:val="32"/>
          <w:szCs w:val="32"/>
          <w:u w:val="none" w:color="auto"/>
          <w:lang w:val="en-US" w:eastAsia="zh-CN"/>
        </w:rPr>
        <w:t>10</w:t>
      </w:r>
      <w:r>
        <w:rPr>
          <w:rFonts w:hint="eastAsia" w:ascii="仿宋_GB2312" w:hAnsi="仿宋_GB2312" w:eastAsia="仿宋_GB2312" w:cs="仿宋_GB2312"/>
          <w:color w:val="000000"/>
          <w:kern w:val="0"/>
          <w:sz w:val="32"/>
          <w:szCs w:val="32"/>
          <w:u w:val="none" w:color="auto"/>
        </w:rPr>
        <w:t>万元</w:t>
      </w:r>
      <w:r>
        <w:rPr>
          <w:rFonts w:hint="eastAsia" w:ascii="仿宋_GB2312" w:hAnsi="仿宋_GB2312" w:eastAsia="仿宋_GB2312" w:cs="仿宋_GB2312"/>
          <w:color w:val="000000"/>
          <w:kern w:val="0"/>
          <w:sz w:val="32"/>
          <w:szCs w:val="32"/>
          <w:u w:val="none" w:color="auto"/>
          <w:lang w:eastAsia="zh-CN"/>
        </w:rPr>
        <w:t>。</w:t>
      </w:r>
      <w:r>
        <w:rPr>
          <w:rFonts w:hint="eastAsia" w:ascii="仿宋_GB2312" w:hAnsi="仿宋_GB2312" w:eastAsia="仿宋_GB2312" w:cs="仿宋_GB2312"/>
          <w:color w:val="000000"/>
          <w:kern w:val="0"/>
          <w:sz w:val="32"/>
          <w:szCs w:val="32"/>
          <w:u w:val="none" w:color="auto"/>
        </w:rPr>
        <w:t>从评价情况看，“机构改革工作经费”</w:t>
      </w:r>
      <w:r>
        <w:rPr>
          <w:rFonts w:hint="eastAsia" w:ascii="仿宋_GB2312" w:hAnsi="仿宋_GB2312" w:eastAsia="仿宋_GB2312" w:cs="仿宋_GB2312"/>
          <w:color w:val="auto"/>
          <w:sz w:val="32"/>
          <w:szCs w:val="32"/>
          <w:lang w:eastAsia="zh-CN"/>
        </w:rPr>
        <w:t>项目的绩效目标明确、管理规范，资金分配过程符合财政规定，保障了</w:t>
      </w:r>
      <w:r>
        <w:rPr>
          <w:rFonts w:hint="eastAsia" w:ascii="仿宋_GB2312" w:hAnsi="仿宋_GB2312" w:eastAsia="仿宋_GB2312" w:cs="仿宋_GB2312"/>
          <w:color w:val="auto"/>
          <w:sz w:val="32"/>
          <w:szCs w:val="32"/>
          <w:lang w:val="en-US" w:eastAsia="zh-CN"/>
        </w:rPr>
        <w:t>机构改革</w:t>
      </w:r>
      <w:r>
        <w:rPr>
          <w:rFonts w:hint="eastAsia" w:ascii="仿宋_GB2312" w:hAnsi="仿宋_GB2312" w:eastAsia="仿宋_GB2312" w:cs="仿宋_GB2312"/>
          <w:color w:val="auto"/>
          <w:sz w:val="32"/>
          <w:szCs w:val="32"/>
          <w:lang w:eastAsia="zh-CN"/>
        </w:rPr>
        <w:t>工作的高效运转。</w:t>
      </w:r>
    </w:p>
    <w:p>
      <w:pPr>
        <w:keepNext w:val="0"/>
        <w:keepLines w:val="0"/>
        <w:pageBreakBefore w:val="0"/>
        <w:widowControl/>
        <w:wordWrap/>
        <w:overflowPunct/>
        <w:topLinePunct w:val="0"/>
        <w:bidi w:val="0"/>
        <w:spacing w:line="360" w:lineRule="auto"/>
        <w:jc w:val="left"/>
        <w:rPr>
          <w:rFonts w:hint="eastAsia" w:ascii="楷体" w:hAnsi="楷体" w:eastAsia="楷体" w:cs="楷体"/>
          <w:b/>
          <w:bCs/>
          <w:kern w:val="0"/>
          <w:sz w:val="32"/>
          <w:szCs w:val="32"/>
          <w:u w:val="none" w:color="auto"/>
        </w:rPr>
      </w:pPr>
      <w:r>
        <w:rPr>
          <w:rFonts w:hint="eastAsia" w:ascii="楷体" w:hAnsi="楷体" w:eastAsia="楷体" w:cs="楷体"/>
          <w:b/>
          <w:bCs/>
          <w:color w:val="000000"/>
          <w:kern w:val="0"/>
          <w:sz w:val="32"/>
          <w:szCs w:val="32"/>
          <w:u w:val="none" w:color="auto"/>
        </w:rPr>
        <w:t xml:space="preserve">    </w:t>
      </w:r>
      <w:r>
        <w:rPr>
          <w:rFonts w:hint="eastAsia" w:ascii="楷体" w:hAnsi="楷体" w:eastAsia="楷体" w:cs="楷体"/>
          <w:b/>
          <w:bCs/>
          <w:kern w:val="0"/>
          <w:sz w:val="32"/>
          <w:szCs w:val="32"/>
          <w:u w:val="none" w:color="auto"/>
        </w:rPr>
        <w:t>（二）部门决算中项目绩效自评结果</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kern w:val="0"/>
          <w:sz w:val="32"/>
          <w:szCs w:val="32"/>
          <w:u w:val="none" w:color="auto"/>
        </w:rPr>
      </w:pPr>
      <w:r>
        <w:rPr>
          <w:rFonts w:hint="eastAsia" w:ascii="仿宋_GB2312" w:hAnsi="仿宋_GB2312" w:eastAsia="仿宋_GB2312" w:cs="仿宋_GB2312"/>
          <w:color w:val="000000"/>
          <w:kern w:val="0"/>
          <w:sz w:val="32"/>
          <w:szCs w:val="32"/>
          <w:u w:val="none" w:color="auto"/>
        </w:rPr>
        <w:t>中共磴口县委员会机构编制委员会办公室 </w:t>
      </w:r>
      <w:r>
        <w:rPr>
          <w:rFonts w:hint="eastAsia" w:ascii="仿宋_GB2312" w:hAnsi="仿宋_GB2312" w:eastAsia="仿宋_GB2312" w:cs="仿宋_GB2312"/>
          <w:color w:val="000000"/>
          <w:kern w:val="0"/>
          <w:sz w:val="32"/>
          <w:szCs w:val="32"/>
          <w:u w:val="none" w:color="auto"/>
          <w:lang w:eastAsia="zh-CN"/>
        </w:rPr>
        <w:t>（</w:t>
      </w:r>
      <w:r>
        <w:rPr>
          <w:rFonts w:hint="eastAsia" w:ascii="仿宋_GB2312" w:hAnsi="仿宋_GB2312" w:eastAsia="仿宋_GB2312" w:cs="仿宋_GB2312"/>
          <w:color w:val="000000"/>
          <w:kern w:val="0"/>
          <w:sz w:val="32"/>
          <w:szCs w:val="32"/>
          <w:u w:val="none" w:color="auto"/>
          <w:lang w:val="en-US" w:eastAsia="zh-CN"/>
        </w:rPr>
        <w:t>部门</w:t>
      </w:r>
      <w:r>
        <w:rPr>
          <w:rFonts w:hint="eastAsia" w:ascii="仿宋_GB2312" w:hAnsi="仿宋_GB2312" w:eastAsia="仿宋_GB2312" w:cs="仿宋_GB2312"/>
          <w:color w:val="000000"/>
          <w:kern w:val="0"/>
          <w:sz w:val="32"/>
          <w:szCs w:val="32"/>
          <w:u w:val="none" w:color="auto"/>
          <w:lang w:eastAsia="zh-CN"/>
        </w:rPr>
        <w:t>）</w:t>
      </w:r>
      <w:r>
        <w:rPr>
          <w:rFonts w:hint="eastAsia" w:ascii="仿宋_GB2312" w:hAnsi="仿宋_GB2312" w:eastAsia="仿宋_GB2312" w:cs="仿宋_GB2312"/>
          <w:color w:val="000000"/>
          <w:kern w:val="0"/>
          <w:sz w:val="32"/>
          <w:szCs w:val="32"/>
          <w:u w:val="none" w:color="auto"/>
        </w:rPr>
        <w:t>2024年度在决算中反映</w:t>
      </w:r>
      <w:r>
        <w:rPr>
          <w:rFonts w:hint="eastAsia" w:ascii="仿宋_GB2312" w:hAnsi="仿宋_GB2312" w:eastAsia="仿宋_GB2312" w:cs="仿宋_GB2312"/>
          <w:color w:val="000000"/>
          <w:kern w:val="0"/>
          <w:sz w:val="32"/>
          <w:szCs w:val="32"/>
          <w:u w:val="none" w:color="auto"/>
          <w:lang w:eastAsia="zh-CN"/>
        </w:rPr>
        <w:t>了</w:t>
      </w:r>
      <w:r>
        <w:rPr>
          <w:rFonts w:hint="eastAsia" w:ascii="仿宋_GB2312" w:hAnsi="仿宋_GB2312" w:eastAsia="仿宋_GB2312" w:cs="仿宋_GB2312"/>
          <w:color w:val="000000"/>
          <w:kern w:val="0"/>
          <w:sz w:val="32"/>
          <w:szCs w:val="32"/>
          <w:u w:val="none" w:color="auto"/>
        </w:rPr>
        <w:t>“机构改革工作经费”</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个一般公共预算项目的绩效自评结果。</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kern w:val="0"/>
          <w:sz w:val="32"/>
          <w:szCs w:val="32"/>
          <w:u w:val="none" w:color="auto"/>
        </w:rPr>
      </w:pPr>
      <w:r>
        <w:rPr>
          <w:rFonts w:hint="eastAsia" w:ascii="仿宋_GB2312" w:hAnsi="仿宋_GB2312" w:eastAsia="仿宋_GB2312" w:cs="仿宋_GB2312"/>
          <w:color w:val="000000"/>
          <w:kern w:val="0"/>
          <w:sz w:val="32"/>
          <w:szCs w:val="32"/>
          <w:u w:val="none" w:color="auto"/>
        </w:rPr>
        <w:t>“机构改革工作经费”项目自评综述：根据年初设定的绩效目标，项目自评得分</w:t>
      </w:r>
      <w:r>
        <w:rPr>
          <w:rFonts w:hint="eastAsia" w:ascii="仿宋_GB2312" w:hAnsi="仿宋_GB2312" w:eastAsia="仿宋_GB2312" w:cs="仿宋_GB2312"/>
          <w:color w:val="000000"/>
          <w:kern w:val="0"/>
          <w:sz w:val="32"/>
          <w:szCs w:val="32"/>
          <w:u w:val="none" w:color="auto"/>
          <w:lang w:val="en-US" w:eastAsia="zh-CN"/>
        </w:rPr>
        <w:t>100</w:t>
      </w:r>
      <w:r>
        <w:rPr>
          <w:rFonts w:hint="eastAsia" w:ascii="仿宋_GB2312" w:hAnsi="仿宋_GB2312" w:eastAsia="仿宋_GB2312" w:cs="仿宋_GB2312"/>
          <w:color w:val="000000"/>
          <w:kern w:val="0"/>
          <w:sz w:val="32"/>
          <w:szCs w:val="32"/>
          <w:u w:val="none" w:color="auto"/>
        </w:rPr>
        <w:t>分。全年预算数为</w:t>
      </w:r>
      <w:r>
        <w:rPr>
          <w:rFonts w:hint="eastAsia" w:ascii="仿宋_GB2312" w:hAnsi="仿宋_GB2312" w:eastAsia="仿宋_GB2312" w:cs="仿宋_GB2312"/>
          <w:color w:val="000000"/>
          <w:kern w:val="0"/>
          <w:sz w:val="32"/>
          <w:szCs w:val="32"/>
          <w:u w:val="none" w:color="auto"/>
          <w:lang w:val="en-US" w:eastAsia="zh-CN"/>
        </w:rPr>
        <w:t>10</w:t>
      </w:r>
      <w:r>
        <w:rPr>
          <w:rFonts w:hint="eastAsia" w:ascii="仿宋_GB2312" w:hAnsi="仿宋_GB2312" w:eastAsia="仿宋_GB2312" w:cs="仿宋_GB2312"/>
          <w:color w:val="000000"/>
          <w:kern w:val="0"/>
          <w:sz w:val="32"/>
          <w:szCs w:val="32"/>
          <w:u w:val="none" w:color="auto"/>
        </w:rPr>
        <w:t>万元，执行数为</w:t>
      </w:r>
      <w:r>
        <w:rPr>
          <w:rFonts w:hint="eastAsia" w:ascii="仿宋_GB2312" w:hAnsi="仿宋_GB2312" w:eastAsia="仿宋_GB2312" w:cs="仿宋_GB2312"/>
          <w:color w:val="000000"/>
          <w:kern w:val="0"/>
          <w:sz w:val="32"/>
          <w:szCs w:val="32"/>
          <w:u w:val="none" w:color="auto"/>
          <w:lang w:val="en-US" w:eastAsia="zh-CN"/>
        </w:rPr>
        <w:t>10</w:t>
      </w:r>
      <w:r>
        <w:rPr>
          <w:rFonts w:hint="eastAsia" w:ascii="仿宋_GB2312" w:hAnsi="仿宋_GB2312" w:eastAsia="仿宋_GB2312" w:cs="仿宋_GB2312"/>
          <w:color w:val="000000"/>
          <w:kern w:val="0"/>
          <w:sz w:val="32"/>
          <w:szCs w:val="32"/>
          <w:u w:val="none" w:color="auto"/>
        </w:rPr>
        <w:t>万元，完成预算的</w:t>
      </w:r>
      <w:r>
        <w:rPr>
          <w:rFonts w:hint="eastAsia" w:ascii="仿宋_GB2312" w:hAnsi="仿宋_GB2312" w:eastAsia="仿宋_GB2312" w:cs="仿宋_GB2312"/>
          <w:color w:val="000000"/>
          <w:kern w:val="0"/>
          <w:sz w:val="32"/>
          <w:szCs w:val="32"/>
          <w:u w:val="none" w:color="auto"/>
          <w:lang w:val="en-US" w:eastAsia="zh-CN"/>
        </w:rPr>
        <w:t>100</w:t>
      </w:r>
      <w:r>
        <w:rPr>
          <w:rFonts w:hint="eastAsia" w:ascii="仿宋_GB2312" w:hAnsi="仿宋_GB2312" w:eastAsia="仿宋_GB2312" w:cs="仿宋_GB2312"/>
          <w:color w:val="000000"/>
          <w:kern w:val="0"/>
          <w:sz w:val="32"/>
          <w:szCs w:val="32"/>
          <w:u w:val="none" w:color="auto"/>
        </w:rPr>
        <w:t>%。项目绩效目标完成情况：</w:t>
      </w:r>
      <w:r>
        <w:rPr>
          <w:rFonts w:hint="eastAsia" w:ascii="仿宋_GB2312" w:hAnsi="仿宋_GB2312" w:eastAsia="仿宋_GB2312" w:cs="仿宋_GB2312"/>
          <w:kern w:val="2"/>
          <w:sz w:val="32"/>
          <w:szCs w:val="32"/>
        </w:rPr>
        <w:t>中共磴口县委员会机构编制委员会办公室2024年</w:t>
      </w:r>
      <w:r>
        <w:rPr>
          <w:rFonts w:hint="eastAsia" w:ascii="仿宋_GB2312" w:hAnsi="仿宋_GB2312" w:eastAsia="仿宋_GB2312" w:cs="仿宋_GB2312"/>
          <w:b w:val="0"/>
          <w:bCs w:val="0"/>
          <w:color w:val="auto"/>
          <w:sz w:val="32"/>
          <w:szCs w:val="32"/>
          <w:lang w:val="en-US" w:eastAsia="zh-CN"/>
        </w:rPr>
        <w:t>有序推动并完成各项改革任务。</w:t>
      </w:r>
      <w:r>
        <w:rPr>
          <w:rFonts w:hint="eastAsia" w:ascii="仿宋_GB2312" w:hAnsi="仿宋_GB2312" w:eastAsia="仿宋_GB2312" w:cs="仿宋_GB2312"/>
          <w:color w:val="000000"/>
          <w:kern w:val="0"/>
          <w:sz w:val="32"/>
          <w:szCs w:val="32"/>
          <w:u w:val="none" w:color="auto"/>
        </w:rPr>
        <w:t>发现的主要问题及原因：</w:t>
      </w:r>
      <w:r>
        <w:rPr>
          <w:rFonts w:hint="eastAsia" w:ascii="仿宋_GB2312" w:hAnsi="仿宋_GB2312" w:eastAsia="仿宋_GB2312" w:cs="仿宋_GB2312"/>
          <w:color w:val="auto"/>
          <w:sz w:val="32"/>
          <w:szCs w:val="32"/>
        </w:rPr>
        <w:t>一是编报预算过程还缺乏更多本单位各</w:t>
      </w:r>
      <w:r>
        <w:rPr>
          <w:rFonts w:hint="eastAsia" w:ascii="仿宋_GB2312" w:hAnsi="仿宋_GB2312" w:eastAsia="仿宋_GB2312" w:cs="仿宋_GB2312"/>
          <w:color w:val="auto"/>
          <w:sz w:val="32"/>
          <w:szCs w:val="32"/>
          <w:lang w:eastAsia="zh-CN"/>
        </w:rPr>
        <w:t>股室</w:t>
      </w:r>
      <w:r>
        <w:rPr>
          <w:rFonts w:hint="eastAsia" w:ascii="仿宋_GB2312" w:hAnsi="仿宋_GB2312" w:eastAsia="仿宋_GB2312" w:cs="仿宋_GB2312"/>
          <w:color w:val="auto"/>
          <w:sz w:val="32"/>
          <w:szCs w:val="32"/>
        </w:rPr>
        <w:t>参与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二是定性指标可衡量性不高，难以评价考核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三是财务人员业务水平有待提高。</w:t>
      </w:r>
      <w:r>
        <w:rPr>
          <w:rFonts w:hint="eastAsia" w:ascii="仿宋_GB2312" w:hAnsi="仿宋_GB2312" w:eastAsia="仿宋_GB2312" w:cs="仿宋_GB2312"/>
          <w:color w:val="000000"/>
          <w:kern w:val="0"/>
          <w:sz w:val="32"/>
          <w:szCs w:val="32"/>
          <w:u w:val="none" w:color="auto"/>
        </w:rPr>
        <w:t>下一步改进措施：</w:t>
      </w:r>
      <w:r>
        <w:rPr>
          <w:rFonts w:hint="eastAsia" w:ascii="仿宋_GB2312" w:hAnsi="仿宋_GB2312" w:eastAsia="仿宋_GB2312" w:cs="仿宋_GB2312"/>
          <w:color w:val="auto"/>
          <w:sz w:val="32"/>
          <w:szCs w:val="32"/>
        </w:rPr>
        <w:t>一是牢固树立绩效理念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二是加强人员配备及培训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三是促进</w:t>
      </w:r>
      <w:r>
        <w:rPr>
          <w:rFonts w:hint="eastAsia" w:ascii="仿宋_GB2312" w:hAnsi="仿宋_GB2312" w:eastAsia="仿宋_GB2312" w:cs="仿宋_GB2312"/>
          <w:color w:val="auto"/>
          <w:sz w:val="32"/>
          <w:szCs w:val="32"/>
          <w:lang w:eastAsia="zh-CN"/>
        </w:rPr>
        <w:t>股</w:t>
      </w:r>
      <w:r>
        <w:rPr>
          <w:rFonts w:hint="eastAsia" w:ascii="仿宋_GB2312" w:hAnsi="仿宋_GB2312" w:eastAsia="仿宋_GB2312" w:cs="仿宋_GB2312"/>
          <w:color w:val="auto"/>
          <w:sz w:val="32"/>
          <w:szCs w:val="32"/>
        </w:rPr>
        <w:t>室间沟通协作。</w:t>
      </w:r>
    </w:p>
    <w:tbl>
      <w:tblPr>
        <w:tblStyle w:val="23"/>
        <w:tblpPr w:leftFromText="180" w:rightFromText="180" w:vertAnchor="text" w:horzAnchor="page" w:tblpX="1835" w:tblpY="607"/>
        <w:tblOverlap w:val="never"/>
        <w:tblW w:w="8258" w:type="dxa"/>
        <w:tblInd w:w="0" w:type="dxa"/>
        <w:shd w:val="clear" w:color="auto" w:fill="auto"/>
        <w:tblLayout w:type="fixed"/>
        <w:tblCellMar>
          <w:top w:w="0" w:type="dxa"/>
          <w:left w:w="0" w:type="dxa"/>
          <w:bottom w:w="0" w:type="dxa"/>
          <w:right w:w="0" w:type="dxa"/>
        </w:tblCellMar>
      </w:tblPr>
      <w:tblGrid>
        <w:gridCol w:w="256"/>
        <w:gridCol w:w="743"/>
        <w:gridCol w:w="1327"/>
        <w:gridCol w:w="1146"/>
        <w:gridCol w:w="612"/>
        <w:gridCol w:w="612"/>
        <w:gridCol w:w="770"/>
        <w:gridCol w:w="819"/>
        <w:gridCol w:w="667"/>
        <w:gridCol w:w="388"/>
        <w:gridCol w:w="604"/>
        <w:gridCol w:w="314"/>
      </w:tblGrid>
      <w:tr>
        <w:tblPrEx>
          <w:shd w:val="clear" w:color="auto" w:fill="auto"/>
          <w:tblLayout w:type="fixed"/>
          <w:tblCellMar>
            <w:top w:w="0" w:type="dxa"/>
            <w:left w:w="0" w:type="dxa"/>
            <w:bottom w:w="0" w:type="dxa"/>
            <w:right w:w="0" w:type="dxa"/>
          </w:tblCellMar>
        </w:tblPrEx>
        <w:trPr>
          <w:trHeight w:val="716" w:hRule="atLeast"/>
        </w:trPr>
        <w:tc>
          <w:tcPr>
            <w:tcW w:w="8258"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项目支出绩效自评表</w:t>
            </w:r>
            <w:r>
              <w:rPr>
                <w:rFonts w:hint="eastAsia" w:ascii="仿宋_GB2312" w:hAnsi="仿宋_GB2312" w:eastAsia="仿宋_GB2312" w:cs="仿宋_GB2312"/>
                <w:b/>
                <w:bCs w:val="0"/>
                <w:i w:val="0"/>
                <w:color w:val="000000"/>
                <w:kern w:val="0"/>
                <w:sz w:val="13"/>
                <w:szCs w:val="13"/>
                <w:u w:val="none"/>
                <w:lang w:val="en-US" w:eastAsia="zh-CN" w:bidi="ar"/>
              </w:rPr>
              <w:br w:type="textWrapping"/>
            </w:r>
            <w:r>
              <w:rPr>
                <w:rFonts w:hint="eastAsia" w:ascii="仿宋_GB2312" w:hAnsi="仿宋_GB2312" w:eastAsia="仿宋_GB2312" w:cs="仿宋_GB2312"/>
                <w:b/>
                <w:bCs w:val="0"/>
                <w:i w:val="0"/>
                <w:color w:val="000000"/>
                <w:kern w:val="0"/>
                <w:sz w:val="13"/>
                <w:szCs w:val="13"/>
                <w:u w:val="none"/>
                <w:lang w:val="en-US" w:eastAsia="zh-CN" w:bidi="ar"/>
              </w:rPr>
              <w:t>(2024年度）</w:t>
            </w:r>
          </w:p>
        </w:tc>
      </w:tr>
      <w:tr>
        <w:tblPrEx>
          <w:tblLayout w:type="fixed"/>
          <w:tblCellMar>
            <w:top w:w="0" w:type="dxa"/>
            <w:left w:w="0" w:type="dxa"/>
            <w:bottom w:w="0" w:type="dxa"/>
            <w:right w:w="0" w:type="dxa"/>
          </w:tblCellMar>
        </w:tblPrEx>
        <w:trPr>
          <w:trHeight w:val="23" w:hRule="atLeast"/>
        </w:trPr>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项目名称</w:t>
            </w:r>
          </w:p>
        </w:tc>
        <w:tc>
          <w:tcPr>
            <w:tcW w:w="725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机构改革工作经费</w:t>
            </w:r>
          </w:p>
        </w:tc>
      </w:tr>
      <w:tr>
        <w:tblPrEx>
          <w:tblLayout w:type="fixed"/>
          <w:tblCellMar>
            <w:top w:w="0" w:type="dxa"/>
            <w:left w:w="0" w:type="dxa"/>
            <w:bottom w:w="0" w:type="dxa"/>
            <w:right w:w="0" w:type="dxa"/>
          </w:tblCellMar>
        </w:tblPrEx>
        <w:trPr>
          <w:trHeight w:val="23" w:hRule="atLeast"/>
        </w:trPr>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主管部门</w:t>
            </w:r>
          </w:p>
        </w:tc>
        <w:tc>
          <w:tcPr>
            <w:tcW w:w="36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中共磴口县委员会机构编制委员会办公室（部门）</w:t>
            </w:r>
          </w:p>
        </w:tc>
        <w:tc>
          <w:tcPr>
            <w:tcW w:w="1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实施单位</w:t>
            </w:r>
          </w:p>
        </w:tc>
        <w:tc>
          <w:tcPr>
            <w:tcW w:w="197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中共磴口县委员会机构编制委员会办公室</w:t>
            </w:r>
          </w:p>
        </w:tc>
      </w:tr>
      <w:tr>
        <w:tblPrEx>
          <w:tblLayout w:type="fixed"/>
          <w:tblCellMar>
            <w:top w:w="0" w:type="dxa"/>
            <w:left w:w="0" w:type="dxa"/>
            <w:bottom w:w="0" w:type="dxa"/>
            <w:right w:w="0" w:type="dxa"/>
          </w:tblCellMar>
        </w:tblPrEx>
        <w:trPr>
          <w:trHeight w:val="23" w:hRule="atLeast"/>
        </w:trPr>
        <w:tc>
          <w:tcPr>
            <w:tcW w:w="9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项目资金</w:t>
            </w:r>
            <w:r>
              <w:rPr>
                <w:rFonts w:hint="eastAsia" w:ascii="仿宋_GB2312" w:hAnsi="仿宋_GB2312" w:eastAsia="仿宋_GB2312" w:cs="仿宋_GB2312"/>
                <w:b/>
                <w:bCs w:val="0"/>
                <w:i w:val="0"/>
                <w:color w:val="000000"/>
                <w:kern w:val="0"/>
                <w:sz w:val="13"/>
                <w:szCs w:val="13"/>
                <w:u w:val="none"/>
                <w:lang w:val="en-US" w:eastAsia="zh-CN" w:bidi="ar"/>
              </w:rPr>
              <w:br w:type="textWrapping"/>
            </w:r>
            <w:r>
              <w:rPr>
                <w:rFonts w:hint="eastAsia" w:ascii="仿宋_GB2312" w:hAnsi="仿宋_GB2312" w:eastAsia="仿宋_GB2312" w:cs="仿宋_GB2312"/>
                <w:b/>
                <w:bCs w:val="0"/>
                <w:i w:val="0"/>
                <w:color w:val="000000"/>
                <w:kern w:val="0"/>
                <w:sz w:val="13"/>
                <w:szCs w:val="13"/>
                <w:u w:val="none"/>
                <w:lang w:val="en-US" w:eastAsia="zh-CN" w:bidi="ar"/>
              </w:rPr>
              <w:t>（万元）</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年初预算数</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全年预算数</w:t>
            </w:r>
          </w:p>
        </w:tc>
        <w:tc>
          <w:tcPr>
            <w:tcW w:w="1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全年执行数</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分值</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执行率（%）</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得分</w:t>
            </w:r>
          </w:p>
        </w:tc>
      </w:tr>
      <w:tr>
        <w:tblPrEx>
          <w:tblLayout w:type="fixed"/>
          <w:tblCellMar>
            <w:top w:w="0" w:type="dxa"/>
            <w:left w:w="0" w:type="dxa"/>
            <w:bottom w:w="0" w:type="dxa"/>
            <w:right w:w="0" w:type="dxa"/>
          </w:tblCellMar>
        </w:tblPrEx>
        <w:trPr>
          <w:trHeight w:val="23" w:hRule="atLeast"/>
        </w:trPr>
        <w:tc>
          <w:tcPr>
            <w:tcW w:w="9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年度资金总额</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0</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10</w:t>
            </w:r>
          </w:p>
        </w:tc>
        <w:tc>
          <w:tcPr>
            <w:tcW w:w="1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10</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10</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100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10</w:t>
            </w:r>
          </w:p>
        </w:tc>
      </w:tr>
      <w:tr>
        <w:tblPrEx>
          <w:tblLayout w:type="fixed"/>
          <w:tblCellMar>
            <w:top w:w="0" w:type="dxa"/>
            <w:left w:w="0" w:type="dxa"/>
            <w:bottom w:w="0" w:type="dxa"/>
            <w:right w:w="0" w:type="dxa"/>
          </w:tblCellMar>
        </w:tblPrEx>
        <w:trPr>
          <w:trHeight w:val="23" w:hRule="atLeast"/>
        </w:trPr>
        <w:tc>
          <w:tcPr>
            <w:tcW w:w="9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其中：财政拨款</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0</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10</w:t>
            </w:r>
          </w:p>
        </w:tc>
        <w:tc>
          <w:tcPr>
            <w:tcW w:w="1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10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222222"/>
                <w:sz w:val="13"/>
                <w:szCs w:val="13"/>
                <w:u w:val="none"/>
              </w:rPr>
            </w:pPr>
            <w:r>
              <w:rPr>
                <w:rFonts w:hint="eastAsia" w:ascii="仿宋_GB2312" w:hAnsi="仿宋_GB2312" w:eastAsia="仿宋_GB2312" w:cs="仿宋_GB2312"/>
                <w:b/>
                <w:bCs w:val="0"/>
                <w:i w:val="0"/>
                <w:color w:val="222222"/>
                <w:kern w:val="0"/>
                <w:sz w:val="13"/>
                <w:szCs w:val="13"/>
                <w:u w:val="none"/>
                <w:lang w:val="en-US" w:eastAsia="zh-CN" w:bidi="ar"/>
              </w:rPr>
              <w:t>——</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100</w:t>
            </w:r>
          </w:p>
        </w:tc>
        <w:tc>
          <w:tcPr>
            <w:tcW w:w="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222222"/>
                <w:sz w:val="13"/>
                <w:szCs w:val="13"/>
                <w:u w:val="none"/>
              </w:rPr>
            </w:pPr>
            <w:r>
              <w:rPr>
                <w:rFonts w:hint="eastAsia" w:ascii="仿宋_GB2312" w:hAnsi="仿宋_GB2312" w:eastAsia="仿宋_GB2312" w:cs="仿宋_GB2312"/>
                <w:b/>
                <w:bCs w:val="0"/>
                <w:i w:val="0"/>
                <w:color w:val="222222"/>
                <w:kern w:val="0"/>
                <w:sz w:val="13"/>
                <w:szCs w:val="13"/>
                <w:u w:val="none"/>
                <w:lang w:val="en-US" w:eastAsia="zh-CN" w:bidi="ar"/>
              </w:rPr>
              <w:t>——</w:t>
            </w:r>
          </w:p>
        </w:tc>
      </w:tr>
      <w:tr>
        <w:tblPrEx>
          <w:tblLayout w:type="fixed"/>
          <w:tblCellMar>
            <w:top w:w="0" w:type="dxa"/>
            <w:left w:w="0" w:type="dxa"/>
            <w:bottom w:w="0" w:type="dxa"/>
            <w:right w:w="0" w:type="dxa"/>
          </w:tblCellMar>
        </w:tblPrEx>
        <w:trPr>
          <w:trHeight w:val="23" w:hRule="atLeast"/>
        </w:trPr>
        <w:tc>
          <w:tcPr>
            <w:tcW w:w="9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上年结转资金</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lang w:val="en-US" w:eastAsia="zh-CN"/>
              </w:rPr>
            </w:pPr>
            <w:r>
              <w:rPr>
                <w:rFonts w:hint="eastAsia" w:ascii="仿宋_GB2312" w:hAnsi="仿宋_GB2312" w:eastAsia="仿宋_GB2312" w:cs="仿宋_GB2312"/>
                <w:b/>
                <w:bCs w:val="0"/>
                <w:i w:val="0"/>
                <w:color w:val="000000"/>
                <w:sz w:val="13"/>
                <w:szCs w:val="13"/>
                <w:u w:val="none"/>
                <w:lang w:val="en-US" w:eastAsia="zh-CN"/>
              </w:rPr>
              <w:t>0</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lang w:val="en-US" w:eastAsia="zh-CN"/>
              </w:rPr>
            </w:pPr>
            <w:r>
              <w:rPr>
                <w:rFonts w:hint="eastAsia" w:ascii="仿宋_GB2312" w:hAnsi="仿宋_GB2312" w:eastAsia="仿宋_GB2312" w:cs="仿宋_GB2312"/>
                <w:b/>
                <w:bCs w:val="0"/>
                <w:i w:val="0"/>
                <w:color w:val="000000"/>
                <w:sz w:val="13"/>
                <w:szCs w:val="13"/>
                <w:u w:val="none"/>
                <w:lang w:val="en-US" w:eastAsia="zh-CN"/>
              </w:rPr>
              <w:t>0</w:t>
            </w:r>
          </w:p>
        </w:tc>
        <w:tc>
          <w:tcPr>
            <w:tcW w:w="1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lang w:val="en-US" w:eastAsia="zh-CN"/>
              </w:rPr>
            </w:pPr>
            <w:r>
              <w:rPr>
                <w:rFonts w:hint="eastAsia" w:ascii="仿宋_GB2312" w:hAnsi="仿宋_GB2312" w:eastAsia="仿宋_GB2312" w:cs="仿宋_GB2312"/>
                <w:b/>
                <w:bCs w:val="0"/>
                <w:i w:val="0"/>
                <w:color w:val="000000"/>
                <w:sz w:val="13"/>
                <w:szCs w:val="13"/>
                <w:u w:val="none"/>
                <w:lang w:val="en-US" w:eastAsia="zh-CN"/>
              </w:rPr>
              <w:t>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222222"/>
                <w:sz w:val="13"/>
                <w:szCs w:val="13"/>
                <w:u w:val="none"/>
              </w:rPr>
            </w:pPr>
            <w:r>
              <w:rPr>
                <w:rFonts w:hint="eastAsia" w:ascii="仿宋_GB2312" w:hAnsi="仿宋_GB2312" w:eastAsia="仿宋_GB2312" w:cs="仿宋_GB2312"/>
                <w:b/>
                <w:bCs w:val="0"/>
                <w:i w:val="0"/>
                <w:color w:val="222222"/>
                <w:kern w:val="0"/>
                <w:sz w:val="13"/>
                <w:szCs w:val="13"/>
                <w:u w:val="none"/>
                <w:lang w:val="en-US" w:eastAsia="zh-CN" w:bidi="ar"/>
              </w:rPr>
              <w:t>——</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lang w:val="en-US" w:eastAsia="zh-CN"/>
              </w:rPr>
            </w:pPr>
            <w:r>
              <w:rPr>
                <w:rFonts w:hint="eastAsia" w:ascii="仿宋_GB2312" w:hAnsi="仿宋_GB2312" w:eastAsia="仿宋_GB2312" w:cs="仿宋_GB2312"/>
                <w:b/>
                <w:bCs w:val="0"/>
                <w:i w:val="0"/>
                <w:color w:val="000000"/>
                <w:sz w:val="13"/>
                <w:szCs w:val="13"/>
                <w:u w:val="none"/>
                <w:lang w:val="en-US" w:eastAsia="zh-CN"/>
              </w:rPr>
              <w:t>0</w:t>
            </w:r>
          </w:p>
        </w:tc>
        <w:tc>
          <w:tcPr>
            <w:tcW w:w="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222222"/>
                <w:sz w:val="13"/>
                <w:szCs w:val="13"/>
                <w:u w:val="none"/>
              </w:rPr>
            </w:pPr>
            <w:r>
              <w:rPr>
                <w:rFonts w:hint="eastAsia" w:ascii="仿宋_GB2312" w:hAnsi="仿宋_GB2312" w:eastAsia="仿宋_GB2312" w:cs="仿宋_GB2312"/>
                <w:b/>
                <w:bCs w:val="0"/>
                <w:i w:val="0"/>
                <w:color w:val="222222"/>
                <w:kern w:val="0"/>
                <w:sz w:val="13"/>
                <w:szCs w:val="13"/>
                <w:u w:val="none"/>
                <w:lang w:val="en-US" w:eastAsia="zh-CN" w:bidi="ar"/>
              </w:rPr>
              <w:t>——</w:t>
            </w:r>
          </w:p>
        </w:tc>
      </w:tr>
      <w:tr>
        <w:tblPrEx>
          <w:tblLayout w:type="fixed"/>
          <w:tblCellMar>
            <w:top w:w="0" w:type="dxa"/>
            <w:left w:w="0" w:type="dxa"/>
            <w:bottom w:w="0" w:type="dxa"/>
            <w:right w:w="0" w:type="dxa"/>
          </w:tblCellMar>
        </w:tblPrEx>
        <w:trPr>
          <w:trHeight w:val="23" w:hRule="atLeast"/>
        </w:trPr>
        <w:tc>
          <w:tcPr>
            <w:tcW w:w="9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其他资金</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0</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0</w:t>
            </w:r>
          </w:p>
        </w:tc>
        <w:tc>
          <w:tcPr>
            <w:tcW w:w="1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222222"/>
                <w:sz w:val="13"/>
                <w:szCs w:val="13"/>
                <w:u w:val="none"/>
              </w:rPr>
            </w:pPr>
            <w:r>
              <w:rPr>
                <w:rFonts w:hint="eastAsia" w:ascii="仿宋_GB2312" w:hAnsi="仿宋_GB2312" w:eastAsia="仿宋_GB2312" w:cs="仿宋_GB2312"/>
                <w:b/>
                <w:bCs w:val="0"/>
                <w:i w:val="0"/>
                <w:color w:val="222222"/>
                <w:kern w:val="0"/>
                <w:sz w:val="13"/>
                <w:szCs w:val="13"/>
                <w:u w:val="none"/>
                <w:lang w:val="en-US" w:eastAsia="zh-CN" w:bidi="ar"/>
              </w:rPr>
              <w:t>——</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0</w:t>
            </w:r>
          </w:p>
        </w:tc>
        <w:tc>
          <w:tcPr>
            <w:tcW w:w="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222222"/>
                <w:sz w:val="13"/>
                <w:szCs w:val="13"/>
                <w:u w:val="none"/>
              </w:rPr>
            </w:pPr>
            <w:r>
              <w:rPr>
                <w:rFonts w:hint="eastAsia" w:ascii="仿宋_GB2312" w:hAnsi="仿宋_GB2312" w:eastAsia="仿宋_GB2312" w:cs="仿宋_GB2312"/>
                <w:b/>
                <w:bCs w:val="0"/>
                <w:i w:val="0"/>
                <w:color w:val="222222"/>
                <w:kern w:val="0"/>
                <w:sz w:val="13"/>
                <w:szCs w:val="13"/>
                <w:u w:val="none"/>
                <w:lang w:val="en-US" w:eastAsia="zh-CN" w:bidi="ar"/>
              </w:rPr>
              <w:t>——</w:t>
            </w:r>
          </w:p>
        </w:tc>
      </w:tr>
      <w:tr>
        <w:tblPrEx>
          <w:tblLayout w:type="fixed"/>
          <w:tblCellMar>
            <w:top w:w="0" w:type="dxa"/>
            <w:left w:w="0" w:type="dxa"/>
            <w:bottom w:w="0" w:type="dxa"/>
            <w:right w:w="0" w:type="dxa"/>
          </w:tblCellMar>
        </w:tblPrEx>
        <w:trPr>
          <w:trHeight w:val="23" w:hRule="atLeast"/>
        </w:trPr>
        <w:tc>
          <w:tcPr>
            <w:tcW w:w="9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年度总体目标</w:t>
            </w:r>
          </w:p>
        </w:tc>
        <w:tc>
          <w:tcPr>
            <w:tcW w:w="446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预期目标</w:t>
            </w:r>
          </w:p>
        </w:tc>
        <w:tc>
          <w:tcPr>
            <w:tcW w:w="279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实际完成情况</w:t>
            </w:r>
          </w:p>
        </w:tc>
      </w:tr>
      <w:tr>
        <w:tblPrEx>
          <w:tblLayout w:type="fixed"/>
          <w:tblCellMar>
            <w:top w:w="0" w:type="dxa"/>
            <w:left w:w="0" w:type="dxa"/>
            <w:bottom w:w="0" w:type="dxa"/>
            <w:right w:w="0" w:type="dxa"/>
          </w:tblCellMar>
        </w:tblPrEx>
        <w:trPr>
          <w:trHeight w:val="23" w:hRule="atLeast"/>
        </w:trPr>
        <w:tc>
          <w:tcPr>
            <w:tcW w:w="9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p>
        </w:tc>
        <w:tc>
          <w:tcPr>
            <w:tcW w:w="446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决定事项[2024]10号机构改革工作经费10万元</w:t>
            </w:r>
          </w:p>
        </w:tc>
        <w:tc>
          <w:tcPr>
            <w:tcW w:w="279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机构改革工作经费10万元。</w:t>
            </w:r>
          </w:p>
        </w:tc>
      </w:tr>
      <w:tr>
        <w:tblPrEx>
          <w:tblLayout w:type="fixed"/>
          <w:tblCellMar>
            <w:top w:w="0" w:type="dxa"/>
            <w:left w:w="0" w:type="dxa"/>
            <w:bottom w:w="0" w:type="dxa"/>
            <w:right w:w="0" w:type="dxa"/>
          </w:tblCellMar>
        </w:tblPrEx>
        <w:trPr>
          <w:trHeight w:val="23"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绩效指标</w:t>
            </w:r>
          </w:p>
        </w:tc>
        <w:tc>
          <w:tcPr>
            <w:tcW w:w="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一级指标</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二级指标</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三级指标</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指标性质</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指标方向</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年度指标值</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实际完成值</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计量单位</w:t>
            </w:r>
          </w:p>
        </w:tc>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分值</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得分</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偏差原因分析及改进措施</w:t>
            </w:r>
          </w:p>
        </w:tc>
      </w:tr>
      <w:tr>
        <w:tblPrEx>
          <w:tblLayout w:type="fixed"/>
          <w:tblCellMar>
            <w:top w:w="0" w:type="dxa"/>
            <w:left w:w="0" w:type="dxa"/>
            <w:bottom w:w="0" w:type="dxa"/>
            <w:right w:w="0" w:type="dxa"/>
          </w:tblCellMar>
        </w:tblPrEx>
        <w:trPr>
          <w:trHeight w:val="23" w:hRule="atLeast"/>
        </w:trPr>
        <w:tc>
          <w:tcPr>
            <w:tcW w:w="256"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绩效指标</w:t>
            </w:r>
          </w:p>
        </w:tc>
        <w:tc>
          <w:tcPr>
            <w:tcW w:w="74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产出指标</w:t>
            </w:r>
          </w:p>
        </w:tc>
        <w:tc>
          <w:tcPr>
            <w:tcW w:w="1327"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数量指标</w:t>
            </w:r>
          </w:p>
        </w:tc>
        <w:tc>
          <w:tcPr>
            <w:tcW w:w="114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机构改革工作经费</w:t>
            </w:r>
          </w:p>
        </w:tc>
        <w:tc>
          <w:tcPr>
            <w:tcW w:w="61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正向</w:t>
            </w:r>
          </w:p>
        </w:tc>
        <w:tc>
          <w:tcPr>
            <w:tcW w:w="61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等于</w:t>
            </w:r>
          </w:p>
        </w:tc>
        <w:tc>
          <w:tcPr>
            <w:tcW w:w="7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10</w:t>
            </w:r>
          </w:p>
        </w:tc>
        <w:tc>
          <w:tcPr>
            <w:tcW w:w="81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10.00</w:t>
            </w:r>
          </w:p>
        </w:tc>
        <w:tc>
          <w:tcPr>
            <w:tcW w:w="66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万元</w:t>
            </w:r>
          </w:p>
        </w:tc>
        <w:tc>
          <w:tcPr>
            <w:tcW w:w="38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10</w:t>
            </w:r>
          </w:p>
        </w:tc>
        <w:tc>
          <w:tcPr>
            <w:tcW w:w="60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10</w:t>
            </w:r>
          </w:p>
        </w:tc>
        <w:tc>
          <w:tcPr>
            <w:tcW w:w="31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lang w:val="en-US" w:eastAsia="zh-CN"/>
              </w:rPr>
            </w:pPr>
            <w:bookmarkStart w:id="4" w:name="OLE_LINK3"/>
            <w:r>
              <w:rPr>
                <w:rFonts w:hint="eastAsia" w:ascii="仿宋_GB2312" w:hAnsi="仿宋_GB2312" w:eastAsia="仿宋_GB2312" w:cs="仿宋_GB2312"/>
                <w:b/>
                <w:bCs w:val="0"/>
                <w:i w:val="0"/>
                <w:color w:val="000000"/>
                <w:sz w:val="13"/>
                <w:szCs w:val="13"/>
                <w:u w:val="none"/>
                <w:lang w:val="en-US" w:eastAsia="zh-CN"/>
              </w:rPr>
              <w:t>无</w:t>
            </w:r>
            <w:bookmarkEnd w:id="4"/>
          </w:p>
        </w:tc>
      </w:tr>
      <w:tr>
        <w:tblPrEx>
          <w:tblLayout w:type="fixed"/>
          <w:tblCellMar>
            <w:top w:w="0" w:type="dxa"/>
            <w:left w:w="0" w:type="dxa"/>
            <w:bottom w:w="0" w:type="dxa"/>
            <w:right w:w="0" w:type="dxa"/>
          </w:tblCellMar>
        </w:tblPrEx>
        <w:trPr>
          <w:trHeight w:val="23" w:hRule="atLeast"/>
        </w:trPr>
        <w:tc>
          <w:tcPr>
            <w:tcW w:w="25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p>
        </w:tc>
        <w:tc>
          <w:tcPr>
            <w:tcW w:w="7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p>
        </w:tc>
        <w:tc>
          <w:tcPr>
            <w:tcW w:w="132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p>
        </w:tc>
        <w:tc>
          <w:tcPr>
            <w:tcW w:w="114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支付率</w:t>
            </w:r>
          </w:p>
        </w:tc>
        <w:tc>
          <w:tcPr>
            <w:tcW w:w="61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定性</w:t>
            </w:r>
          </w:p>
        </w:tc>
        <w:tc>
          <w:tcPr>
            <w:tcW w:w="61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等于</w:t>
            </w:r>
          </w:p>
        </w:tc>
        <w:tc>
          <w:tcPr>
            <w:tcW w:w="7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100</w:t>
            </w:r>
          </w:p>
        </w:tc>
        <w:tc>
          <w:tcPr>
            <w:tcW w:w="81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100</w:t>
            </w:r>
          </w:p>
        </w:tc>
        <w:tc>
          <w:tcPr>
            <w:tcW w:w="66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万元</w:t>
            </w:r>
          </w:p>
        </w:tc>
        <w:tc>
          <w:tcPr>
            <w:tcW w:w="38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5</w:t>
            </w:r>
          </w:p>
        </w:tc>
        <w:tc>
          <w:tcPr>
            <w:tcW w:w="60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5</w:t>
            </w:r>
          </w:p>
        </w:tc>
        <w:tc>
          <w:tcPr>
            <w:tcW w:w="31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sz w:val="13"/>
                <w:szCs w:val="13"/>
                <w:u w:val="none"/>
                <w:lang w:val="en-US" w:eastAsia="zh-CN"/>
              </w:rPr>
              <w:t>无</w:t>
            </w:r>
          </w:p>
        </w:tc>
      </w:tr>
      <w:tr>
        <w:tblPrEx>
          <w:tblLayout w:type="fixed"/>
          <w:tblCellMar>
            <w:top w:w="0" w:type="dxa"/>
            <w:left w:w="0" w:type="dxa"/>
            <w:bottom w:w="0" w:type="dxa"/>
            <w:right w:w="0" w:type="dxa"/>
          </w:tblCellMar>
        </w:tblPrEx>
        <w:trPr>
          <w:trHeight w:val="23" w:hRule="atLeast"/>
        </w:trPr>
        <w:tc>
          <w:tcPr>
            <w:tcW w:w="25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p>
        </w:tc>
        <w:tc>
          <w:tcPr>
            <w:tcW w:w="7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p>
        </w:tc>
        <w:tc>
          <w:tcPr>
            <w:tcW w:w="1327"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质量指标</w:t>
            </w:r>
          </w:p>
        </w:tc>
        <w:tc>
          <w:tcPr>
            <w:tcW w:w="114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按时完成工作</w:t>
            </w:r>
          </w:p>
        </w:tc>
        <w:tc>
          <w:tcPr>
            <w:tcW w:w="61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定性</w:t>
            </w:r>
          </w:p>
        </w:tc>
        <w:tc>
          <w:tcPr>
            <w:tcW w:w="61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等于</w:t>
            </w:r>
          </w:p>
        </w:tc>
        <w:tc>
          <w:tcPr>
            <w:tcW w:w="7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按时</w:t>
            </w:r>
          </w:p>
        </w:tc>
        <w:tc>
          <w:tcPr>
            <w:tcW w:w="81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按时</w:t>
            </w:r>
          </w:p>
        </w:tc>
        <w:tc>
          <w:tcPr>
            <w:tcW w:w="66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万元</w:t>
            </w:r>
          </w:p>
        </w:tc>
        <w:tc>
          <w:tcPr>
            <w:tcW w:w="38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10</w:t>
            </w:r>
          </w:p>
        </w:tc>
        <w:tc>
          <w:tcPr>
            <w:tcW w:w="60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10</w:t>
            </w:r>
          </w:p>
        </w:tc>
        <w:tc>
          <w:tcPr>
            <w:tcW w:w="31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sz w:val="13"/>
                <w:szCs w:val="13"/>
                <w:u w:val="none"/>
                <w:lang w:val="en-US" w:eastAsia="zh-CN"/>
              </w:rPr>
              <w:t>无</w:t>
            </w:r>
          </w:p>
        </w:tc>
      </w:tr>
      <w:tr>
        <w:tblPrEx>
          <w:tblLayout w:type="fixed"/>
          <w:tblCellMar>
            <w:top w:w="0" w:type="dxa"/>
            <w:left w:w="0" w:type="dxa"/>
            <w:bottom w:w="0" w:type="dxa"/>
            <w:right w:w="0" w:type="dxa"/>
          </w:tblCellMar>
        </w:tblPrEx>
        <w:trPr>
          <w:trHeight w:val="23" w:hRule="atLeast"/>
        </w:trPr>
        <w:tc>
          <w:tcPr>
            <w:tcW w:w="25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p>
        </w:tc>
        <w:tc>
          <w:tcPr>
            <w:tcW w:w="7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p>
        </w:tc>
        <w:tc>
          <w:tcPr>
            <w:tcW w:w="132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p>
        </w:tc>
        <w:tc>
          <w:tcPr>
            <w:tcW w:w="114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质量达标</w:t>
            </w:r>
          </w:p>
        </w:tc>
        <w:tc>
          <w:tcPr>
            <w:tcW w:w="61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定性</w:t>
            </w:r>
          </w:p>
        </w:tc>
        <w:tc>
          <w:tcPr>
            <w:tcW w:w="61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等于</w:t>
            </w:r>
          </w:p>
        </w:tc>
        <w:tc>
          <w:tcPr>
            <w:tcW w:w="7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达标</w:t>
            </w:r>
          </w:p>
        </w:tc>
        <w:tc>
          <w:tcPr>
            <w:tcW w:w="81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达标</w:t>
            </w:r>
          </w:p>
        </w:tc>
        <w:tc>
          <w:tcPr>
            <w:tcW w:w="66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万元</w:t>
            </w:r>
          </w:p>
        </w:tc>
        <w:tc>
          <w:tcPr>
            <w:tcW w:w="38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5</w:t>
            </w:r>
          </w:p>
        </w:tc>
        <w:tc>
          <w:tcPr>
            <w:tcW w:w="60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5</w:t>
            </w:r>
          </w:p>
        </w:tc>
        <w:tc>
          <w:tcPr>
            <w:tcW w:w="31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sz w:val="13"/>
                <w:szCs w:val="13"/>
                <w:u w:val="none"/>
                <w:lang w:val="en-US" w:eastAsia="zh-CN"/>
              </w:rPr>
              <w:t>无</w:t>
            </w:r>
          </w:p>
        </w:tc>
      </w:tr>
      <w:tr>
        <w:tblPrEx>
          <w:tblLayout w:type="fixed"/>
          <w:tblCellMar>
            <w:top w:w="0" w:type="dxa"/>
            <w:left w:w="0" w:type="dxa"/>
            <w:bottom w:w="0" w:type="dxa"/>
            <w:right w:w="0" w:type="dxa"/>
          </w:tblCellMar>
        </w:tblPrEx>
        <w:trPr>
          <w:trHeight w:val="23" w:hRule="atLeast"/>
        </w:trPr>
        <w:tc>
          <w:tcPr>
            <w:tcW w:w="25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p>
        </w:tc>
        <w:tc>
          <w:tcPr>
            <w:tcW w:w="7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p>
        </w:tc>
        <w:tc>
          <w:tcPr>
            <w:tcW w:w="1327"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时效指标</w:t>
            </w:r>
          </w:p>
        </w:tc>
        <w:tc>
          <w:tcPr>
            <w:tcW w:w="114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及时拨款</w:t>
            </w:r>
          </w:p>
        </w:tc>
        <w:tc>
          <w:tcPr>
            <w:tcW w:w="61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定性</w:t>
            </w:r>
          </w:p>
        </w:tc>
        <w:tc>
          <w:tcPr>
            <w:tcW w:w="61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等于</w:t>
            </w:r>
          </w:p>
        </w:tc>
        <w:tc>
          <w:tcPr>
            <w:tcW w:w="7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及时</w:t>
            </w:r>
          </w:p>
        </w:tc>
        <w:tc>
          <w:tcPr>
            <w:tcW w:w="81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及时</w:t>
            </w:r>
          </w:p>
        </w:tc>
        <w:tc>
          <w:tcPr>
            <w:tcW w:w="66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万元</w:t>
            </w:r>
          </w:p>
        </w:tc>
        <w:tc>
          <w:tcPr>
            <w:tcW w:w="38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5</w:t>
            </w:r>
          </w:p>
        </w:tc>
        <w:tc>
          <w:tcPr>
            <w:tcW w:w="60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5</w:t>
            </w:r>
          </w:p>
        </w:tc>
        <w:tc>
          <w:tcPr>
            <w:tcW w:w="31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sz w:val="13"/>
                <w:szCs w:val="13"/>
                <w:u w:val="none"/>
                <w:lang w:val="en-US" w:eastAsia="zh-CN"/>
              </w:rPr>
              <w:t>无</w:t>
            </w:r>
          </w:p>
        </w:tc>
      </w:tr>
      <w:tr>
        <w:tblPrEx>
          <w:tblLayout w:type="fixed"/>
          <w:tblCellMar>
            <w:top w:w="0" w:type="dxa"/>
            <w:left w:w="0" w:type="dxa"/>
            <w:bottom w:w="0" w:type="dxa"/>
            <w:right w:w="0" w:type="dxa"/>
          </w:tblCellMar>
        </w:tblPrEx>
        <w:trPr>
          <w:trHeight w:val="23" w:hRule="atLeast"/>
        </w:trPr>
        <w:tc>
          <w:tcPr>
            <w:tcW w:w="256"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p>
        </w:tc>
        <w:tc>
          <w:tcPr>
            <w:tcW w:w="743"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p>
        </w:tc>
        <w:tc>
          <w:tcPr>
            <w:tcW w:w="1327"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p>
        </w:tc>
        <w:tc>
          <w:tcPr>
            <w:tcW w:w="114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及时支付</w:t>
            </w:r>
          </w:p>
        </w:tc>
        <w:tc>
          <w:tcPr>
            <w:tcW w:w="61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定性</w:t>
            </w:r>
          </w:p>
        </w:tc>
        <w:tc>
          <w:tcPr>
            <w:tcW w:w="61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等于</w:t>
            </w:r>
          </w:p>
        </w:tc>
        <w:tc>
          <w:tcPr>
            <w:tcW w:w="77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及时</w:t>
            </w:r>
          </w:p>
        </w:tc>
        <w:tc>
          <w:tcPr>
            <w:tcW w:w="81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及时</w:t>
            </w:r>
          </w:p>
        </w:tc>
        <w:tc>
          <w:tcPr>
            <w:tcW w:w="66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万元</w:t>
            </w:r>
          </w:p>
        </w:tc>
        <w:tc>
          <w:tcPr>
            <w:tcW w:w="38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5</w:t>
            </w:r>
          </w:p>
        </w:tc>
        <w:tc>
          <w:tcPr>
            <w:tcW w:w="60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5</w:t>
            </w:r>
          </w:p>
        </w:tc>
        <w:tc>
          <w:tcPr>
            <w:tcW w:w="31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sz w:val="13"/>
                <w:szCs w:val="13"/>
                <w:u w:val="none"/>
                <w:lang w:val="en-US" w:eastAsia="zh-CN"/>
              </w:rPr>
              <w:t>无</w:t>
            </w:r>
          </w:p>
        </w:tc>
      </w:tr>
      <w:tr>
        <w:tblPrEx>
          <w:tblLayout w:type="fixed"/>
          <w:tblCellMar>
            <w:top w:w="0" w:type="dxa"/>
            <w:left w:w="0" w:type="dxa"/>
            <w:bottom w:w="0" w:type="dxa"/>
            <w:right w:w="0" w:type="dxa"/>
          </w:tblCellMar>
        </w:tblPrEx>
        <w:trPr>
          <w:trHeight w:val="23" w:hRule="atLeast"/>
        </w:trPr>
        <w:tc>
          <w:tcPr>
            <w:tcW w:w="256" w:type="dxa"/>
            <w:vMerge w:val="continue"/>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p>
        </w:tc>
        <w:tc>
          <w:tcPr>
            <w:tcW w:w="743" w:type="dxa"/>
            <w:vMerge w:val="continue"/>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p>
        </w:tc>
        <w:tc>
          <w:tcPr>
            <w:tcW w:w="1327" w:type="dxa"/>
            <w:vMerge w:val="restart"/>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成本指标</w:t>
            </w:r>
          </w:p>
        </w:tc>
        <w:tc>
          <w:tcPr>
            <w:tcW w:w="1146" w:type="dxa"/>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严格控制预算成本</w:t>
            </w:r>
          </w:p>
        </w:tc>
        <w:tc>
          <w:tcPr>
            <w:tcW w:w="612" w:type="dxa"/>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定性</w:t>
            </w:r>
          </w:p>
        </w:tc>
        <w:tc>
          <w:tcPr>
            <w:tcW w:w="612" w:type="dxa"/>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等于</w:t>
            </w:r>
          </w:p>
        </w:tc>
        <w:tc>
          <w:tcPr>
            <w:tcW w:w="770" w:type="dxa"/>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控制</w:t>
            </w:r>
          </w:p>
        </w:tc>
        <w:tc>
          <w:tcPr>
            <w:tcW w:w="819" w:type="dxa"/>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控制</w:t>
            </w:r>
          </w:p>
        </w:tc>
        <w:tc>
          <w:tcPr>
            <w:tcW w:w="667" w:type="dxa"/>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万元</w:t>
            </w:r>
          </w:p>
        </w:tc>
        <w:tc>
          <w:tcPr>
            <w:tcW w:w="388" w:type="dxa"/>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5</w:t>
            </w:r>
          </w:p>
        </w:tc>
        <w:tc>
          <w:tcPr>
            <w:tcW w:w="604" w:type="dxa"/>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5</w:t>
            </w:r>
          </w:p>
        </w:tc>
        <w:tc>
          <w:tcPr>
            <w:tcW w:w="314" w:type="dxa"/>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sz w:val="13"/>
                <w:szCs w:val="13"/>
                <w:u w:val="none"/>
                <w:lang w:val="en-US" w:eastAsia="zh-CN"/>
              </w:rPr>
              <w:t>无</w:t>
            </w:r>
          </w:p>
        </w:tc>
      </w:tr>
      <w:tr>
        <w:tblPrEx>
          <w:tblLayout w:type="fixed"/>
          <w:tblCellMar>
            <w:top w:w="0" w:type="dxa"/>
            <w:left w:w="0" w:type="dxa"/>
            <w:bottom w:w="0" w:type="dxa"/>
            <w:right w:w="0" w:type="dxa"/>
          </w:tblCellMar>
        </w:tblPrEx>
        <w:trPr>
          <w:trHeight w:val="23" w:hRule="atLeast"/>
        </w:trPr>
        <w:tc>
          <w:tcPr>
            <w:tcW w:w="25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p>
        </w:tc>
        <w:tc>
          <w:tcPr>
            <w:tcW w:w="7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p>
        </w:tc>
        <w:tc>
          <w:tcPr>
            <w:tcW w:w="132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p>
        </w:tc>
        <w:tc>
          <w:tcPr>
            <w:tcW w:w="114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严格控制预算资金</w:t>
            </w:r>
          </w:p>
        </w:tc>
        <w:tc>
          <w:tcPr>
            <w:tcW w:w="61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定性</w:t>
            </w:r>
          </w:p>
        </w:tc>
        <w:tc>
          <w:tcPr>
            <w:tcW w:w="61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等于</w:t>
            </w:r>
          </w:p>
        </w:tc>
        <w:tc>
          <w:tcPr>
            <w:tcW w:w="7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控制</w:t>
            </w:r>
          </w:p>
        </w:tc>
        <w:tc>
          <w:tcPr>
            <w:tcW w:w="81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控制</w:t>
            </w:r>
          </w:p>
        </w:tc>
        <w:tc>
          <w:tcPr>
            <w:tcW w:w="66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万元</w:t>
            </w:r>
          </w:p>
        </w:tc>
        <w:tc>
          <w:tcPr>
            <w:tcW w:w="38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5</w:t>
            </w:r>
          </w:p>
        </w:tc>
        <w:tc>
          <w:tcPr>
            <w:tcW w:w="60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5</w:t>
            </w:r>
          </w:p>
        </w:tc>
        <w:tc>
          <w:tcPr>
            <w:tcW w:w="31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sz w:val="13"/>
                <w:szCs w:val="13"/>
                <w:u w:val="none"/>
                <w:lang w:val="en-US" w:eastAsia="zh-CN"/>
              </w:rPr>
              <w:t>无</w:t>
            </w:r>
          </w:p>
        </w:tc>
      </w:tr>
      <w:tr>
        <w:tblPrEx>
          <w:tblLayout w:type="fixed"/>
          <w:tblCellMar>
            <w:top w:w="0" w:type="dxa"/>
            <w:left w:w="0" w:type="dxa"/>
            <w:bottom w:w="0" w:type="dxa"/>
            <w:right w:w="0" w:type="dxa"/>
          </w:tblCellMar>
        </w:tblPrEx>
        <w:trPr>
          <w:trHeight w:val="23" w:hRule="atLeast"/>
        </w:trPr>
        <w:tc>
          <w:tcPr>
            <w:tcW w:w="25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p>
        </w:tc>
        <w:tc>
          <w:tcPr>
            <w:tcW w:w="74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效益指标</w:t>
            </w:r>
          </w:p>
        </w:tc>
        <w:tc>
          <w:tcPr>
            <w:tcW w:w="132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经济效益指标</w:t>
            </w:r>
          </w:p>
        </w:tc>
        <w:tc>
          <w:tcPr>
            <w:tcW w:w="114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提高资金使用效益</w:t>
            </w:r>
          </w:p>
        </w:tc>
        <w:tc>
          <w:tcPr>
            <w:tcW w:w="61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定性</w:t>
            </w:r>
          </w:p>
        </w:tc>
        <w:tc>
          <w:tcPr>
            <w:tcW w:w="61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等于</w:t>
            </w:r>
          </w:p>
        </w:tc>
        <w:tc>
          <w:tcPr>
            <w:tcW w:w="7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提高</w:t>
            </w:r>
          </w:p>
        </w:tc>
        <w:tc>
          <w:tcPr>
            <w:tcW w:w="81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提高</w:t>
            </w:r>
          </w:p>
        </w:tc>
        <w:tc>
          <w:tcPr>
            <w:tcW w:w="66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万元</w:t>
            </w:r>
          </w:p>
        </w:tc>
        <w:tc>
          <w:tcPr>
            <w:tcW w:w="38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10</w:t>
            </w:r>
          </w:p>
        </w:tc>
        <w:tc>
          <w:tcPr>
            <w:tcW w:w="60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10</w:t>
            </w:r>
          </w:p>
        </w:tc>
        <w:tc>
          <w:tcPr>
            <w:tcW w:w="31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sz w:val="13"/>
                <w:szCs w:val="13"/>
                <w:u w:val="none"/>
                <w:lang w:val="en-US" w:eastAsia="zh-CN"/>
              </w:rPr>
              <w:t>无</w:t>
            </w:r>
          </w:p>
        </w:tc>
      </w:tr>
      <w:tr>
        <w:tblPrEx>
          <w:tblLayout w:type="fixed"/>
          <w:tblCellMar>
            <w:top w:w="0" w:type="dxa"/>
            <w:left w:w="0" w:type="dxa"/>
            <w:bottom w:w="0" w:type="dxa"/>
            <w:right w:w="0" w:type="dxa"/>
          </w:tblCellMar>
        </w:tblPrEx>
        <w:trPr>
          <w:trHeight w:val="23" w:hRule="atLeast"/>
        </w:trPr>
        <w:tc>
          <w:tcPr>
            <w:tcW w:w="25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p>
        </w:tc>
        <w:tc>
          <w:tcPr>
            <w:tcW w:w="7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p>
        </w:tc>
        <w:tc>
          <w:tcPr>
            <w:tcW w:w="132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社会效益指标</w:t>
            </w:r>
          </w:p>
        </w:tc>
        <w:tc>
          <w:tcPr>
            <w:tcW w:w="114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提升社会效益</w:t>
            </w:r>
          </w:p>
        </w:tc>
        <w:tc>
          <w:tcPr>
            <w:tcW w:w="61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定性</w:t>
            </w:r>
          </w:p>
        </w:tc>
        <w:tc>
          <w:tcPr>
            <w:tcW w:w="61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等于</w:t>
            </w:r>
          </w:p>
        </w:tc>
        <w:tc>
          <w:tcPr>
            <w:tcW w:w="7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提升</w:t>
            </w:r>
          </w:p>
        </w:tc>
        <w:tc>
          <w:tcPr>
            <w:tcW w:w="81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提升</w:t>
            </w:r>
          </w:p>
        </w:tc>
        <w:tc>
          <w:tcPr>
            <w:tcW w:w="66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万元</w:t>
            </w:r>
          </w:p>
        </w:tc>
        <w:tc>
          <w:tcPr>
            <w:tcW w:w="38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5</w:t>
            </w:r>
          </w:p>
        </w:tc>
        <w:tc>
          <w:tcPr>
            <w:tcW w:w="60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5</w:t>
            </w:r>
          </w:p>
        </w:tc>
        <w:tc>
          <w:tcPr>
            <w:tcW w:w="31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sz w:val="13"/>
                <w:szCs w:val="13"/>
                <w:u w:val="none"/>
                <w:lang w:val="en-US" w:eastAsia="zh-CN"/>
              </w:rPr>
              <w:t>无</w:t>
            </w:r>
          </w:p>
        </w:tc>
      </w:tr>
      <w:tr>
        <w:tblPrEx>
          <w:tblLayout w:type="fixed"/>
          <w:tblCellMar>
            <w:top w:w="0" w:type="dxa"/>
            <w:left w:w="0" w:type="dxa"/>
            <w:bottom w:w="0" w:type="dxa"/>
            <w:right w:w="0" w:type="dxa"/>
          </w:tblCellMar>
        </w:tblPrEx>
        <w:trPr>
          <w:trHeight w:val="23" w:hRule="atLeast"/>
        </w:trPr>
        <w:tc>
          <w:tcPr>
            <w:tcW w:w="25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p>
        </w:tc>
        <w:tc>
          <w:tcPr>
            <w:tcW w:w="7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p>
        </w:tc>
        <w:tc>
          <w:tcPr>
            <w:tcW w:w="132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生态效益指标</w:t>
            </w:r>
          </w:p>
        </w:tc>
        <w:tc>
          <w:tcPr>
            <w:tcW w:w="114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改善人居环境</w:t>
            </w:r>
          </w:p>
        </w:tc>
        <w:tc>
          <w:tcPr>
            <w:tcW w:w="61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定性</w:t>
            </w:r>
          </w:p>
        </w:tc>
        <w:tc>
          <w:tcPr>
            <w:tcW w:w="61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等于</w:t>
            </w:r>
          </w:p>
        </w:tc>
        <w:tc>
          <w:tcPr>
            <w:tcW w:w="7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改善</w:t>
            </w:r>
          </w:p>
        </w:tc>
        <w:tc>
          <w:tcPr>
            <w:tcW w:w="81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改善</w:t>
            </w:r>
          </w:p>
        </w:tc>
        <w:tc>
          <w:tcPr>
            <w:tcW w:w="66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万元</w:t>
            </w:r>
          </w:p>
        </w:tc>
        <w:tc>
          <w:tcPr>
            <w:tcW w:w="38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10</w:t>
            </w:r>
          </w:p>
        </w:tc>
        <w:tc>
          <w:tcPr>
            <w:tcW w:w="60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10</w:t>
            </w:r>
          </w:p>
        </w:tc>
        <w:tc>
          <w:tcPr>
            <w:tcW w:w="31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sz w:val="13"/>
                <w:szCs w:val="13"/>
                <w:u w:val="none"/>
                <w:lang w:val="en-US" w:eastAsia="zh-CN"/>
              </w:rPr>
              <w:t>无</w:t>
            </w:r>
          </w:p>
        </w:tc>
      </w:tr>
      <w:tr>
        <w:tblPrEx>
          <w:tblLayout w:type="fixed"/>
          <w:tblCellMar>
            <w:top w:w="0" w:type="dxa"/>
            <w:left w:w="0" w:type="dxa"/>
            <w:bottom w:w="0" w:type="dxa"/>
            <w:right w:w="0" w:type="dxa"/>
          </w:tblCellMar>
        </w:tblPrEx>
        <w:trPr>
          <w:trHeight w:val="23" w:hRule="atLeast"/>
        </w:trPr>
        <w:tc>
          <w:tcPr>
            <w:tcW w:w="25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p>
        </w:tc>
        <w:tc>
          <w:tcPr>
            <w:tcW w:w="7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p>
        </w:tc>
        <w:tc>
          <w:tcPr>
            <w:tcW w:w="132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可持续影响指标</w:t>
            </w:r>
          </w:p>
        </w:tc>
        <w:tc>
          <w:tcPr>
            <w:tcW w:w="114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改善人民收入</w:t>
            </w:r>
          </w:p>
        </w:tc>
        <w:tc>
          <w:tcPr>
            <w:tcW w:w="61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定性</w:t>
            </w:r>
          </w:p>
        </w:tc>
        <w:tc>
          <w:tcPr>
            <w:tcW w:w="61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等于</w:t>
            </w:r>
          </w:p>
        </w:tc>
        <w:tc>
          <w:tcPr>
            <w:tcW w:w="7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改善</w:t>
            </w:r>
          </w:p>
        </w:tc>
        <w:tc>
          <w:tcPr>
            <w:tcW w:w="81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改善</w:t>
            </w:r>
          </w:p>
        </w:tc>
        <w:tc>
          <w:tcPr>
            <w:tcW w:w="66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万元</w:t>
            </w:r>
          </w:p>
        </w:tc>
        <w:tc>
          <w:tcPr>
            <w:tcW w:w="38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5</w:t>
            </w:r>
          </w:p>
        </w:tc>
        <w:tc>
          <w:tcPr>
            <w:tcW w:w="60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5</w:t>
            </w:r>
          </w:p>
        </w:tc>
        <w:tc>
          <w:tcPr>
            <w:tcW w:w="31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sz w:val="13"/>
                <w:szCs w:val="13"/>
                <w:u w:val="none"/>
                <w:lang w:val="en-US" w:eastAsia="zh-CN"/>
              </w:rPr>
              <w:t>无</w:t>
            </w:r>
          </w:p>
        </w:tc>
      </w:tr>
      <w:tr>
        <w:tblPrEx>
          <w:tblLayout w:type="fixed"/>
          <w:tblCellMar>
            <w:top w:w="0" w:type="dxa"/>
            <w:left w:w="0" w:type="dxa"/>
            <w:bottom w:w="0" w:type="dxa"/>
            <w:right w:w="0" w:type="dxa"/>
          </w:tblCellMar>
        </w:tblPrEx>
        <w:trPr>
          <w:trHeight w:val="23" w:hRule="atLeast"/>
        </w:trPr>
        <w:tc>
          <w:tcPr>
            <w:tcW w:w="25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p>
        </w:tc>
        <w:tc>
          <w:tcPr>
            <w:tcW w:w="74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满意度指标</w:t>
            </w:r>
          </w:p>
        </w:tc>
        <w:tc>
          <w:tcPr>
            <w:tcW w:w="132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服务对象满意度指标</w:t>
            </w:r>
          </w:p>
        </w:tc>
        <w:tc>
          <w:tcPr>
            <w:tcW w:w="114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提高社会满意度</w:t>
            </w:r>
          </w:p>
        </w:tc>
        <w:tc>
          <w:tcPr>
            <w:tcW w:w="61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定性</w:t>
            </w:r>
          </w:p>
        </w:tc>
        <w:tc>
          <w:tcPr>
            <w:tcW w:w="61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等于</w:t>
            </w:r>
          </w:p>
        </w:tc>
        <w:tc>
          <w:tcPr>
            <w:tcW w:w="7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提高</w:t>
            </w:r>
          </w:p>
        </w:tc>
        <w:tc>
          <w:tcPr>
            <w:tcW w:w="81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提高</w:t>
            </w:r>
          </w:p>
        </w:tc>
        <w:tc>
          <w:tcPr>
            <w:tcW w:w="66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万元</w:t>
            </w:r>
          </w:p>
        </w:tc>
        <w:tc>
          <w:tcPr>
            <w:tcW w:w="38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10</w:t>
            </w:r>
          </w:p>
        </w:tc>
        <w:tc>
          <w:tcPr>
            <w:tcW w:w="60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10</w:t>
            </w:r>
          </w:p>
        </w:tc>
        <w:tc>
          <w:tcPr>
            <w:tcW w:w="31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sz w:val="13"/>
                <w:szCs w:val="13"/>
                <w:u w:val="none"/>
                <w:lang w:val="en-US" w:eastAsia="zh-CN"/>
              </w:rPr>
              <w:t>无</w:t>
            </w:r>
          </w:p>
        </w:tc>
      </w:tr>
      <w:tr>
        <w:tblPrEx>
          <w:tblLayout w:type="fixed"/>
          <w:tblCellMar>
            <w:top w:w="0" w:type="dxa"/>
            <w:left w:w="0" w:type="dxa"/>
            <w:bottom w:w="0" w:type="dxa"/>
            <w:right w:w="0" w:type="dxa"/>
          </w:tblCellMar>
        </w:tblPrEx>
        <w:trPr>
          <w:trHeight w:val="23" w:hRule="atLeast"/>
        </w:trPr>
        <w:tc>
          <w:tcPr>
            <w:tcW w:w="695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总分</w:t>
            </w:r>
          </w:p>
        </w:tc>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100</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100.00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ordWrap/>
              <w:overflowPunct/>
              <w:topLinePunct w:val="0"/>
              <w:bidi w:val="0"/>
              <w:spacing w:line="360" w:lineRule="auto"/>
              <w:jc w:val="center"/>
              <w:rPr>
                <w:rFonts w:hint="eastAsia" w:ascii="仿宋_GB2312" w:hAnsi="仿宋_GB2312" w:eastAsia="仿宋_GB2312" w:cs="仿宋_GB2312"/>
                <w:b/>
                <w:bCs w:val="0"/>
                <w:i w:val="0"/>
                <w:color w:val="000000"/>
                <w:sz w:val="13"/>
                <w:szCs w:val="13"/>
                <w:u w:val="none"/>
              </w:rPr>
            </w:pPr>
          </w:p>
        </w:tc>
      </w:tr>
    </w:tbl>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kern w:val="0"/>
          <w:sz w:val="32"/>
          <w:szCs w:val="32"/>
          <w:u w:val="none" w:color="auto"/>
        </w:rPr>
      </w:pPr>
      <w:r>
        <w:rPr>
          <w:rFonts w:hint="eastAsia" w:ascii="仿宋_GB2312" w:hAnsi="仿宋_GB2312" w:eastAsia="仿宋_GB2312" w:cs="仿宋_GB2312"/>
          <w:color w:val="000000"/>
          <w:kern w:val="0"/>
          <w:sz w:val="32"/>
          <w:szCs w:val="32"/>
          <w:u w:val="none" w:color="auto"/>
        </w:rPr>
        <w:t>2</w:t>
      </w:r>
      <w:r>
        <w:rPr>
          <w:rFonts w:hint="eastAsia" w:ascii="仿宋_GB2312" w:hAnsi="仿宋_GB2312" w:eastAsia="仿宋_GB2312" w:cs="仿宋_GB2312"/>
          <w:color w:val="000000"/>
          <w:kern w:val="0"/>
          <w:sz w:val="32"/>
          <w:szCs w:val="32"/>
          <w:u w:val="none" w:color="auto"/>
          <w:lang w:eastAsia="zh-CN"/>
        </w:rPr>
        <w:t>、</w:t>
      </w:r>
      <w:r>
        <w:rPr>
          <w:rFonts w:hint="eastAsia" w:ascii="仿宋_GB2312" w:hAnsi="仿宋_GB2312" w:eastAsia="仿宋_GB2312" w:cs="仿宋_GB2312"/>
          <w:color w:val="000000"/>
          <w:kern w:val="0"/>
          <w:sz w:val="32"/>
          <w:szCs w:val="32"/>
          <w:u w:val="none" w:color="auto"/>
        </w:rPr>
        <w:t>“机构改革工作经费”项目自评综述：</w:t>
      </w:r>
    </w:p>
    <w:p>
      <w:pPr>
        <w:keepNext w:val="0"/>
        <w:keepLines w:val="0"/>
        <w:pageBreakBefore w:val="0"/>
        <w:widowControl/>
        <w:wordWrap/>
        <w:overflowPunct/>
        <w:topLinePunct w:val="0"/>
        <w:bidi w:val="0"/>
        <w:spacing w:line="360" w:lineRule="auto"/>
        <w:jc w:val="center"/>
        <w:rPr>
          <w:rFonts w:ascii="Times New Roman" w:hAnsi="Times New Roman" w:eastAsia="Times New Roman" w:cs="Times New Roman"/>
          <w:kern w:val="0"/>
          <w:sz w:val="24"/>
          <w:u w:val="none" w:color="auto"/>
        </w:rPr>
      </w:pPr>
    </w:p>
    <w:p>
      <w:pPr>
        <w:keepNext w:val="0"/>
        <w:keepLines w:val="0"/>
        <w:pageBreakBefore w:val="0"/>
        <w:widowControl/>
        <w:wordWrap/>
        <w:overflowPunct/>
        <w:topLinePunct w:val="0"/>
        <w:bidi w:val="0"/>
        <w:spacing w:line="360" w:lineRule="auto"/>
        <w:ind w:firstLine="643" w:firstLineChars="200"/>
        <w:jc w:val="left"/>
        <w:rPr>
          <w:rFonts w:hint="eastAsia" w:ascii="楷体" w:hAnsi="楷体" w:eastAsia="楷体" w:cs="楷体"/>
          <w:b/>
          <w:bCs/>
          <w:color w:val="000000"/>
          <w:kern w:val="0"/>
          <w:sz w:val="32"/>
          <w:szCs w:val="32"/>
          <w:u w:val="none" w:color="auto"/>
          <w:lang w:eastAsia="zh-CN"/>
        </w:rPr>
      </w:pPr>
      <w:r>
        <w:rPr>
          <w:rFonts w:hint="eastAsia" w:ascii="楷体" w:hAnsi="楷体" w:eastAsia="楷体" w:cs="楷体"/>
          <w:b/>
          <w:bCs/>
          <w:color w:val="000000"/>
          <w:kern w:val="0"/>
          <w:sz w:val="32"/>
          <w:szCs w:val="32"/>
          <w:u w:val="none" w:color="auto"/>
          <w:lang w:eastAsia="zh-CN"/>
        </w:rPr>
        <w:t>（</w:t>
      </w:r>
      <w:r>
        <w:rPr>
          <w:rFonts w:hint="eastAsia" w:ascii="楷体" w:hAnsi="楷体" w:eastAsia="楷体" w:cs="楷体"/>
          <w:b/>
          <w:bCs/>
          <w:color w:val="000000"/>
          <w:kern w:val="0"/>
          <w:sz w:val="32"/>
          <w:szCs w:val="32"/>
          <w:u w:val="none" w:color="auto"/>
          <w:lang w:val="en-US" w:eastAsia="zh-CN"/>
        </w:rPr>
        <w:t>三</w:t>
      </w:r>
      <w:r>
        <w:rPr>
          <w:rFonts w:hint="eastAsia" w:ascii="楷体" w:hAnsi="楷体" w:eastAsia="楷体" w:cs="楷体"/>
          <w:b/>
          <w:bCs/>
          <w:color w:val="000000"/>
          <w:kern w:val="0"/>
          <w:sz w:val="32"/>
          <w:szCs w:val="32"/>
          <w:u w:val="none" w:color="auto"/>
          <w:lang w:eastAsia="zh-CN"/>
        </w:rPr>
        <w:t>）</w:t>
      </w:r>
      <w:r>
        <w:rPr>
          <w:rFonts w:hint="eastAsia" w:ascii="楷体" w:hAnsi="楷体" w:eastAsia="楷体" w:cs="楷体"/>
          <w:b/>
          <w:bCs/>
          <w:color w:val="000000"/>
          <w:kern w:val="0"/>
          <w:sz w:val="32"/>
          <w:szCs w:val="32"/>
          <w:u w:val="none" w:color="auto"/>
        </w:rPr>
        <w:t>部门项目绩效评价结果</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kern w:val="0"/>
          <w:sz w:val="32"/>
          <w:szCs w:val="32"/>
          <w:u w:val="none" w:color="auto"/>
        </w:rPr>
      </w:pPr>
      <w:r>
        <w:rPr>
          <w:rFonts w:hint="eastAsia" w:ascii="仿宋_GB2312" w:hAnsi="仿宋_GB2312" w:eastAsia="仿宋_GB2312" w:cs="仿宋_GB2312"/>
          <w:color w:val="000000"/>
          <w:kern w:val="0"/>
          <w:sz w:val="32"/>
          <w:szCs w:val="32"/>
          <w:u w:val="none" w:color="auto"/>
        </w:rPr>
        <w:t>以“机构改革工作经费”项目为例，该项目绩效评价综合得分为</w:t>
      </w:r>
      <w:r>
        <w:rPr>
          <w:rFonts w:hint="eastAsia" w:ascii="仿宋_GB2312" w:hAnsi="仿宋_GB2312" w:eastAsia="仿宋_GB2312" w:cs="仿宋_GB2312"/>
          <w:color w:val="000000"/>
          <w:kern w:val="0"/>
          <w:sz w:val="32"/>
          <w:szCs w:val="32"/>
          <w:u w:val="none" w:color="auto"/>
          <w:lang w:val="en-US" w:eastAsia="zh-CN"/>
        </w:rPr>
        <w:t>100</w:t>
      </w:r>
      <w:r>
        <w:rPr>
          <w:rFonts w:hint="eastAsia" w:ascii="仿宋_GB2312" w:hAnsi="仿宋_GB2312" w:eastAsia="仿宋_GB2312" w:cs="仿宋_GB2312"/>
          <w:color w:val="000000"/>
          <w:kern w:val="0"/>
          <w:sz w:val="32"/>
          <w:szCs w:val="32"/>
          <w:u w:val="none" w:color="auto"/>
        </w:rPr>
        <w:t>分，绩效评价结果为“优”。部门项目绩效评价得分情况详见部门具体绩效评价结果。</w:t>
      </w:r>
    </w:p>
    <w:p>
      <w:pPr>
        <w:pStyle w:val="5"/>
        <w:keepNext w:val="0"/>
        <w:keepLines w:val="0"/>
        <w:pageBreakBefore w:val="0"/>
        <w:widowControl/>
        <w:wordWrap/>
        <w:overflowPunct/>
        <w:topLinePunct w:val="0"/>
        <w:bidi w:val="0"/>
        <w:spacing w:before="0" w:after="0" w:line="360" w:lineRule="auto"/>
        <w:jc w:val="center"/>
        <w:rPr>
          <w:rFonts w:hint="eastAsia" w:ascii="仿宋" w:hAnsi="仿宋" w:eastAsia="仿宋" w:cs="仿宋"/>
          <w:color w:val="0E00FE"/>
          <w:kern w:val="0"/>
          <w:sz w:val="32"/>
          <w:szCs w:val="32"/>
          <w:u w:val="none" w:color="auto"/>
        </w:rPr>
      </w:pPr>
      <w:r>
        <w:rPr>
          <w:rFonts w:hint="eastAsia" w:ascii="仿宋" w:hAnsi="仿宋" w:eastAsia="仿宋" w:cs="仿宋"/>
          <w:color w:val="0E00FE"/>
          <w:kern w:val="0"/>
          <w:sz w:val="32"/>
          <w:szCs w:val="32"/>
          <w:u w:val="none" w:color="auto"/>
        </w:rPr>
        <w:t xml:space="preserve">    </w:t>
      </w:r>
    </w:p>
    <w:p>
      <w:pPr>
        <w:keepNext w:val="0"/>
        <w:keepLines w:val="0"/>
        <w:pageBreakBefore w:val="0"/>
        <w:wordWrap/>
        <w:overflowPunct/>
        <w:topLinePunct w:val="0"/>
        <w:bidi w:val="0"/>
        <w:spacing w:line="360" w:lineRule="auto"/>
        <w:rPr>
          <w:rFonts w:hint="eastAsia" w:ascii="仿宋" w:hAnsi="仿宋" w:eastAsia="仿宋" w:cs="仿宋"/>
          <w:color w:val="0E00FE"/>
          <w:kern w:val="0"/>
          <w:sz w:val="32"/>
          <w:szCs w:val="32"/>
          <w:u w:val="none" w:color="auto"/>
        </w:rPr>
      </w:pPr>
      <w:r>
        <w:rPr>
          <w:rFonts w:hint="eastAsia" w:ascii="仿宋" w:hAnsi="仿宋" w:eastAsia="仿宋" w:cs="仿宋"/>
          <w:color w:val="0E00FE"/>
          <w:kern w:val="0"/>
          <w:sz w:val="32"/>
          <w:szCs w:val="32"/>
          <w:u w:val="none" w:color="auto"/>
        </w:rPr>
        <w:br w:type="page"/>
      </w:r>
    </w:p>
    <w:p>
      <w:pPr>
        <w:pStyle w:val="5"/>
        <w:keepNext w:val="0"/>
        <w:keepLines w:val="0"/>
        <w:pageBreakBefore w:val="0"/>
        <w:widowControl/>
        <w:wordWrap/>
        <w:overflowPunct/>
        <w:topLinePunct w:val="0"/>
        <w:bidi w:val="0"/>
        <w:spacing w:before="0" w:after="0" w:line="360" w:lineRule="auto"/>
        <w:jc w:val="center"/>
        <w:rPr>
          <w:rFonts w:hint="eastAsia" w:ascii="方正小标宋简体" w:hAnsi="方正小标宋简体" w:eastAsia="方正小标宋简体" w:cs="Times New Roman"/>
          <w:b w:val="0"/>
          <w:bCs w:val="0"/>
          <w:color w:val="auto"/>
          <w:kern w:val="2"/>
          <w:sz w:val="36"/>
          <w:szCs w:val="22"/>
          <w:u w:val="none" w:color="auto"/>
          <w:lang w:val="en-US" w:eastAsia="zh-CN" w:bidi="ar-SA"/>
        </w:rPr>
      </w:pPr>
      <w:r>
        <w:rPr>
          <w:rFonts w:hint="eastAsia" w:ascii="方正小标宋简体" w:hAnsi="方正小标宋简体" w:eastAsia="方正小标宋简体" w:cs="Times New Roman"/>
          <w:b w:val="0"/>
          <w:bCs w:val="0"/>
          <w:color w:val="auto"/>
          <w:kern w:val="2"/>
          <w:sz w:val="36"/>
          <w:szCs w:val="22"/>
          <w:u w:val="none" w:color="auto"/>
          <w:lang w:val="en-US" w:eastAsia="zh-CN" w:bidi="ar-SA"/>
        </w:rPr>
        <w:t>第三部分 名词解释</w:t>
      </w:r>
    </w:p>
    <w:p>
      <w:pPr>
        <w:pStyle w:val="5"/>
        <w:keepNext w:val="0"/>
        <w:keepLines w:val="0"/>
        <w:pageBreakBefore w:val="0"/>
        <w:widowControl/>
        <w:kinsoku/>
        <w:wordWrap/>
        <w:overflowPunct/>
        <w:topLinePunct w:val="0"/>
        <w:autoSpaceDE/>
        <w:autoSpaceDN/>
        <w:bidi w:val="0"/>
        <w:adjustRightInd/>
        <w:snapToGrid/>
        <w:spacing w:before="0" w:after="0" w:line="360" w:lineRule="auto"/>
        <w:ind w:firstLine="643" w:firstLineChars="200"/>
        <w:jc w:val="both"/>
        <w:textAlignment w:val="auto"/>
        <w:rPr>
          <w:rFonts w:hint="eastAsia" w:ascii="仿宋_GB2312" w:hAnsi="仿宋_GB2312" w:eastAsia="仿宋_GB2312" w:cs="仿宋_GB2312"/>
          <w:b w:val="0"/>
          <w:bCs w:val="0"/>
          <w:kern w:val="0"/>
          <w:sz w:val="32"/>
          <w:szCs w:val="32"/>
          <w:u w:val="none" w:color="auto"/>
          <w:lang w:val="en-US" w:eastAsia="zh-CN" w:bidi="ar-SA"/>
        </w:rPr>
      </w:pPr>
      <w:r>
        <w:rPr>
          <w:rFonts w:hint="eastAsia" w:ascii="仿宋_GB2312" w:hAnsi="仿宋_GB2312" w:eastAsia="仿宋_GB2312" w:cs="仿宋_GB2312"/>
          <w:b/>
          <w:bCs/>
          <w:kern w:val="0"/>
          <w:sz w:val="32"/>
          <w:szCs w:val="32"/>
          <w:u w:val="none" w:color="auto"/>
        </w:rPr>
        <w:t>一、财政拨款收入：</w:t>
      </w:r>
      <w:r>
        <w:rPr>
          <w:rFonts w:hint="eastAsia" w:ascii="仿宋_GB2312" w:hAnsi="仿宋_GB2312" w:eastAsia="仿宋_GB2312" w:cs="仿宋_GB2312"/>
          <w:b w:val="0"/>
          <w:bCs w:val="0"/>
          <w:kern w:val="0"/>
          <w:sz w:val="32"/>
          <w:szCs w:val="32"/>
          <w:u w:val="none" w:color="auto"/>
          <w:lang w:val="en-US" w:eastAsia="zh-CN" w:bidi="ar-SA"/>
        </w:rPr>
        <w:t>从同级财政部门取得的各类财政拨款，包括一般公共预算财政拨款、政府性基金预算财政拨款、国有资本经营预算财政拨款。</w:t>
      </w:r>
    </w:p>
    <w:p>
      <w:pPr>
        <w:pStyle w:val="5"/>
        <w:keepNext w:val="0"/>
        <w:keepLines w:val="0"/>
        <w:pageBreakBefore w:val="0"/>
        <w:widowControl/>
        <w:kinsoku/>
        <w:wordWrap/>
        <w:overflowPunct/>
        <w:topLinePunct w:val="0"/>
        <w:autoSpaceDE/>
        <w:autoSpaceDN/>
        <w:bidi w:val="0"/>
        <w:adjustRightInd/>
        <w:snapToGrid/>
        <w:spacing w:before="0" w:after="0" w:line="360" w:lineRule="auto"/>
        <w:ind w:firstLine="643" w:firstLineChars="200"/>
        <w:jc w:val="both"/>
        <w:textAlignment w:val="auto"/>
        <w:rPr>
          <w:rFonts w:hint="eastAsia" w:ascii="仿宋_GB2312" w:hAnsi="仿宋_GB2312" w:eastAsia="仿宋_GB2312" w:cs="仿宋_GB2312"/>
          <w:b w:val="0"/>
          <w:bCs w:val="0"/>
          <w:kern w:val="0"/>
          <w:sz w:val="32"/>
          <w:szCs w:val="32"/>
          <w:u w:val="none" w:color="auto"/>
          <w:lang w:val="en-US" w:eastAsia="zh-CN" w:bidi="ar-SA"/>
        </w:rPr>
      </w:pPr>
      <w:r>
        <w:rPr>
          <w:rFonts w:hint="eastAsia" w:ascii="仿宋_GB2312" w:hAnsi="仿宋_GB2312" w:eastAsia="仿宋_GB2312" w:cs="仿宋_GB2312"/>
          <w:b/>
          <w:bCs/>
          <w:kern w:val="0"/>
          <w:sz w:val="32"/>
          <w:szCs w:val="32"/>
          <w:u w:val="none" w:color="auto"/>
        </w:rPr>
        <w:t>二、上级补助收入：</w:t>
      </w:r>
      <w:r>
        <w:rPr>
          <w:rFonts w:hint="eastAsia" w:ascii="仿宋_GB2312" w:hAnsi="仿宋_GB2312" w:eastAsia="仿宋_GB2312" w:cs="仿宋_GB2312"/>
          <w:b w:val="0"/>
          <w:bCs w:val="0"/>
          <w:kern w:val="0"/>
          <w:sz w:val="32"/>
          <w:szCs w:val="32"/>
          <w:u w:val="none" w:color="auto"/>
          <w:lang w:val="en-US" w:eastAsia="zh-CN" w:bidi="ar-SA"/>
        </w:rPr>
        <w:t>指事业单位从主管部门和上级单位取得的非财政补助收入。</w:t>
      </w:r>
    </w:p>
    <w:p>
      <w:pPr>
        <w:pStyle w:val="5"/>
        <w:keepNext w:val="0"/>
        <w:keepLines w:val="0"/>
        <w:pageBreakBefore w:val="0"/>
        <w:widowControl/>
        <w:kinsoku/>
        <w:wordWrap/>
        <w:overflowPunct/>
        <w:topLinePunct w:val="0"/>
        <w:autoSpaceDE/>
        <w:autoSpaceDN/>
        <w:bidi w:val="0"/>
        <w:adjustRightInd/>
        <w:snapToGrid/>
        <w:spacing w:before="0" w:after="0" w:line="360" w:lineRule="auto"/>
        <w:ind w:firstLine="643" w:firstLineChars="200"/>
        <w:jc w:val="both"/>
        <w:textAlignment w:val="auto"/>
        <w:rPr>
          <w:rFonts w:hint="eastAsia" w:ascii="仿宋_GB2312" w:hAnsi="仿宋_GB2312" w:eastAsia="仿宋_GB2312" w:cs="仿宋_GB2312"/>
          <w:b w:val="0"/>
          <w:bCs w:val="0"/>
          <w:kern w:val="0"/>
          <w:sz w:val="32"/>
          <w:szCs w:val="32"/>
          <w:u w:val="none" w:color="auto"/>
          <w:lang w:val="en-US" w:eastAsia="zh-CN" w:bidi="ar-SA"/>
        </w:rPr>
      </w:pPr>
      <w:r>
        <w:rPr>
          <w:rFonts w:hint="eastAsia" w:ascii="仿宋_GB2312" w:hAnsi="仿宋_GB2312" w:eastAsia="仿宋_GB2312" w:cs="仿宋_GB2312"/>
          <w:b/>
          <w:bCs/>
          <w:kern w:val="0"/>
          <w:sz w:val="32"/>
          <w:szCs w:val="32"/>
          <w:u w:val="none" w:color="auto"/>
        </w:rPr>
        <w:t>三、财政专户管理教育收费：</w:t>
      </w:r>
      <w:r>
        <w:rPr>
          <w:rFonts w:hint="eastAsia" w:ascii="仿宋_GB2312" w:hAnsi="仿宋_GB2312" w:eastAsia="仿宋_GB2312" w:cs="仿宋_GB2312"/>
          <w:b w:val="0"/>
          <w:bCs w:val="0"/>
          <w:kern w:val="0"/>
          <w:sz w:val="32"/>
          <w:szCs w:val="32"/>
          <w:u w:val="none" w:color="auto"/>
          <w:lang w:val="en-US" w:eastAsia="zh-CN" w:bidi="ar-SA"/>
        </w:rPr>
        <w:t>指缴入财政专户、实行专项管理的高中以上学费、住宿费、高校委托培养费、函大、电大、夜大及短训班培训费等教育收费。</w:t>
      </w:r>
    </w:p>
    <w:p>
      <w:pPr>
        <w:pStyle w:val="5"/>
        <w:keepNext w:val="0"/>
        <w:keepLines w:val="0"/>
        <w:pageBreakBefore w:val="0"/>
        <w:widowControl/>
        <w:kinsoku/>
        <w:wordWrap/>
        <w:overflowPunct/>
        <w:topLinePunct w:val="0"/>
        <w:autoSpaceDE/>
        <w:autoSpaceDN/>
        <w:bidi w:val="0"/>
        <w:adjustRightInd/>
        <w:snapToGrid/>
        <w:spacing w:before="0" w:after="0" w:line="360" w:lineRule="auto"/>
        <w:ind w:firstLine="643" w:firstLineChars="200"/>
        <w:jc w:val="both"/>
        <w:textAlignment w:val="auto"/>
        <w:rPr>
          <w:rFonts w:hint="eastAsia" w:ascii="仿宋_GB2312" w:hAnsi="仿宋_GB2312" w:eastAsia="仿宋_GB2312" w:cs="仿宋_GB2312"/>
          <w:b w:val="0"/>
          <w:bCs w:val="0"/>
          <w:kern w:val="0"/>
          <w:sz w:val="32"/>
          <w:szCs w:val="32"/>
          <w:u w:val="none" w:color="auto"/>
          <w:lang w:val="en-US" w:eastAsia="zh-CN" w:bidi="ar-SA"/>
        </w:rPr>
      </w:pPr>
      <w:r>
        <w:rPr>
          <w:rFonts w:hint="eastAsia" w:ascii="仿宋_GB2312" w:hAnsi="仿宋_GB2312" w:eastAsia="仿宋_GB2312" w:cs="仿宋_GB2312"/>
          <w:b/>
          <w:bCs/>
          <w:kern w:val="0"/>
          <w:sz w:val="32"/>
          <w:szCs w:val="32"/>
          <w:u w:val="none" w:color="auto"/>
        </w:rPr>
        <w:t>四、事业收入：</w:t>
      </w:r>
      <w:r>
        <w:rPr>
          <w:rFonts w:hint="eastAsia" w:ascii="仿宋_GB2312" w:hAnsi="仿宋_GB2312" w:eastAsia="仿宋_GB2312" w:cs="仿宋_GB2312"/>
          <w:b w:val="0"/>
          <w:bCs w:val="0"/>
          <w:kern w:val="0"/>
          <w:sz w:val="32"/>
          <w:szCs w:val="32"/>
          <w:u w:val="none" w:color="auto"/>
          <w:lang w:val="en-US" w:eastAsia="zh-CN" w:bidi="ar-SA"/>
        </w:rPr>
        <w:t>指事业单位开展专业业务活动及其辅助活动取得的收入。</w:t>
      </w:r>
    </w:p>
    <w:p>
      <w:pPr>
        <w:pStyle w:val="5"/>
        <w:keepNext w:val="0"/>
        <w:keepLines w:val="0"/>
        <w:pageBreakBefore w:val="0"/>
        <w:widowControl/>
        <w:kinsoku/>
        <w:wordWrap/>
        <w:overflowPunct/>
        <w:topLinePunct w:val="0"/>
        <w:autoSpaceDE/>
        <w:autoSpaceDN/>
        <w:bidi w:val="0"/>
        <w:adjustRightInd/>
        <w:snapToGrid/>
        <w:spacing w:before="0" w:after="0" w:line="360" w:lineRule="auto"/>
        <w:ind w:firstLine="643" w:firstLineChars="200"/>
        <w:jc w:val="both"/>
        <w:textAlignment w:val="auto"/>
        <w:rPr>
          <w:rFonts w:hint="eastAsia" w:ascii="仿宋_GB2312" w:hAnsi="仿宋_GB2312" w:eastAsia="仿宋_GB2312" w:cs="仿宋_GB2312"/>
          <w:b w:val="0"/>
          <w:bCs w:val="0"/>
          <w:kern w:val="0"/>
          <w:sz w:val="32"/>
          <w:szCs w:val="32"/>
          <w:u w:val="none" w:color="auto"/>
          <w:lang w:val="en-US" w:eastAsia="zh-CN" w:bidi="ar-SA"/>
        </w:rPr>
      </w:pPr>
      <w:r>
        <w:rPr>
          <w:rFonts w:hint="eastAsia" w:ascii="仿宋_GB2312" w:hAnsi="仿宋_GB2312" w:eastAsia="仿宋_GB2312" w:cs="仿宋_GB2312"/>
          <w:b/>
          <w:bCs/>
          <w:kern w:val="0"/>
          <w:sz w:val="32"/>
          <w:szCs w:val="32"/>
          <w:u w:val="none" w:color="auto"/>
        </w:rPr>
        <w:t>五、经营收入：</w:t>
      </w:r>
      <w:r>
        <w:rPr>
          <w:rFonts w:hint="eastAsia" w:ascii="仿宋_GB2312" w:hAnsi="仿宋_GB2312" w:eastAsia="仿宋_GB2312" w:cs="仿宋_GB2312"/>
          <w:b w:val="0"/>
          <w:bCs w:val="0"/>
          <w:kern w:val="0"/>
          <w:sz w:val="32"/>
          <w:szCs w:val="32"/>
          <w:u w:val="none" w:color="auto"/>
          <w:lang w:val="en-US" w:eastAsia="zh-CN" w:bidi="ar-SA"/>
        </w:rPr>
        <w:t>指事业单位在专业业务活动及其辅助活动之外开展非独立核算经营活动取得的收入。</w:t>
      </w:r>
    </w:p>
    <w:p>
      <w:pPr>
        <w:pStyle w:val="5"/>
        <w:keepNext w:val="0"/>
        <w:keepLines w:val="0"/>
        <w:pageBreakBefore w:val="0"/>
        <w:widowControl/>
        <w:kinsoku/>
        <w:wordWrap/>
        <w:overflowPunct/>
        <w:topLinePunct w:val="0"/>
        <w:autoSpaceDE/>
        <w:autoSpaceDN/>
        <w:bidi w:val="0"/>
        <w:adjustRightInd/>
        <w:snapToGrid/>
        <w:spacing w:before="0" w:after="0" w:line="360" w:lineRule="auto"/>
        <w:ind w:firstLine="643" w:firstLineChars="200"/>
        <w:jc w:val="both"/>
        <w:textAlignment w:val="auto"/>
        <w:rPr>
          <w:rFonts w:hint="eastAsia" w:ascii="仿宋_GB2312" w:hAnsi="仿宋_GB2312" w:eastAsia="仿宋_GB2312" w:cs="仿宋_GB2312"/>
          <w:b w:val="0"/>
          <w:bCs w:val="0"/>
          <w:kern w:val="0"/>
          <w:sz w:val="32"/>
          <w:szCs w:val="32"/>
          <w:u w:val="none" w:color="auto"/>
          <w:lang w:val="en-US" w:eastAsia="zh-CN" w:bidi="ar-SA"/>
        </w:rPr>
      </w:pPr>
      <w:r>
        <w:rPr>
          <w:rFonts w:hint="eastAsia" w:ascii="仿宋_GB2312" w:hAnsi="仿宋_GB2312" w:eastAsia="仿宋_GB2312" w:cs="仿宋_GB2312"/>
          <w:b/>
          <w:bCs/>
          <w:kern w:val="0"/>
          <w:sz w:val="32"/>
          <w:szCs w:val="32"/>
          <w:u w:val="none" w:color="auto"/>
        </w:rPr>
        <w:t>六、附属单位上缴收入：</w:t>
      </w:r>
      <w:r>
        <w:rPr>
          <w:rFonts w:hint="eastAsia" w:ascii="仿宋_GB2312" w:hAnsi="仿宋_GB2312" w:eastAsia="仿宋_GB2312" w:cs="仿宋_GB2312"/>
          <w:b w:val="0"/>
          <w:bCs w:val="0"/>
          <w:kern w:val="0"/>
          <w:sz w:val="32"/>
          <w:szCs w:val="32"/>
          <w:u w:val="none" w:color="auto"/>
          <w:lang w:val="en-US" w:eastAsia="zh-CN" w:bidi="ar-SA"/>
        </w:rPr>
        <w:t>指事业单位取得附属独立核算单位按照有关规定上缴的收入。</w:t>
      </w:r>
    </w:p>
    <w:p>
      <w:pPr>
        <w:pStyle w:val="5"/>
        <w:keepNext w:val="0"/>
        <w:keepLines w:val="0"/>
        <w:pageBreakBefore w:val="0"/>
        <w:widowControl/>
        <w:kinsoku/>
        <w:wordWrap/>
        <w:overflowPunct/>
        <w:topLinePunct w:val="0"/>
        <w:autoSpaceDE/>
        <w:autoSpaceDN/>
        <w:bidi w:val="0"/>
        <w:adjustRightInd/>
        <w:snapToGrid/>
        <w:spacing w:before="0" w:after="0" w:line="360" w:lineRule="auto"/>
        <w:ind w:firstLine="643" w:firstLineChars="200"/>
        <w:jc w:val="both"/>
        <w:textAlignment w:val="auto"/>
        <w:rPr>
          <w:rFonts w:hint="eastAsia" w:ascii="仿宋_GB2312" w:hAnsi="仿宋_GB2312" w:eastAsia="仿宋_GB2312" w:cs="仿宋_GB2312"/>
          <w:b w:val="0"/>
          <w:bCs w:val="0"/>
          <w:kern w:val="0"/>
          <w:sz w:val="32"/>
          <w:szCs w:val="32"/>
          <w:u w:val="none" w:color="auto"/>
          <w:lang w:val="en-US" w:eastAsia="zh-CN" w:bidi="ar-SA"/>
        </w:rPr>
      </w:pPr>
      <w:r>
        <w:rPr>
          <w:rFonts w:hint="eastAsia" w:ascii="仿宋_GB2312" w:hAnsi="仿宋_GB2312" w:eastAsia="仿宋_GB2312" w:cs="仿宋_GB2312"/>
          <w:b/>
          <w:bCs/>
          <w:kern w:val="0"/>
          <w:sz w:val="32"/>
          <w:szCs w:val="32"/>
          <w:u w:val="none" w:color="auto"/>
        </w:rPr>
        <w:t>七、其他收入：</w:t>
      </w:r>
      <w:r>
        <w:rPr>
          <w:rFonts w:hint="eastAsia" w:ascii="仿宋_GB2312" w:hAnsi="仿宋_GB2312" w:eastAsia="仿宋_GB2312" w:cs="仿宋_GB2312"/>
          <w:b w:val="0"/>
          <w:bCs w:val="0"/>
          <w:kern w:val="0"/>
          <w:sz w:val="32"/>
          <w:szCs w:val="32"/>
          <w:u w:val="none" w:color="auto"/>
          <w:lang w:val="en-US" w:eastAsia="zh-CN" w:bidi="ar-SA"/>
        </w:rPr>
        <w:t>取得的除上述财政拨款收入、上级补助收入、事业收入、经营收入、附属单位上缴收入等以外的各项收入。</w:t>
      </w:r>
    </w:p>
    <w:p>
      <w:pPr>
        <w:keepNext w:val="0"/>
        <w:keepLines w:val="0"/>
        <w:pageBreakBefore w:val="0"/>
        <w:widowControl/>
        <w:wordWrap/>
        <w:overflowPunct/>
        <w:topLinePunct w:val="0"/>
        <w:bidi w:val="0"/>
        <w:spacing w:line="360" w:lineRule="auto"/>
        <w:jc w:val="left"/>
        <w:rPr>
          <w:rFonts w:hint="eastAsia" w:ascii="仿宋_GB2312" w:hAnsi="仿宋_GB2312" w:eastAsia="仿宋_GB2312" w:cs="仿宋_GB2312"/>
          <w:kern w:val="0"/>
          <w:sz w:val="32"/>
          <w:szCs w:val="32"/>
          <w:u w:val="none" w:color="auto"/>
        </w:rPr>
      </w:pPr>
      <w:r>
        <w:rPr>
          <w:rFonts w:hint="eastAsia" w:ascii="仿宋_GB2312" w:hAnsi="仿宋_GB2312" w:eastAsia="仿宋_GB2312" w:cs="仿宋_GB2312"/>
          <w:b/>
          <w:bCs/>
          <w:kern w:val="0"/>
          <w:sz w:val="32"/>
          <w:szCs w:val="32"/>
          <w:u w:val="none" w:color="auto"/>
        </w:rPr>
        <w:t xml:space="preserve">    </w:t>
      </w:r>
      <w:r>
        <w:rPr>
          <w:rFonts w:hint="eastAsia" w:ascii="仿宋_GB2312" w:hAnsi="仿宋_GB2312" w:eastAsia="仿宋_GB2312" w:cs="仿宋_GB2312"/>
          <w:b/>
          <w:bCs/>
          <w:kern w:val="0"/>
          <w:sz w:val="32"/>
          <w:szCs w:val="32"/>
          <w:u w:val="none" w:color="auto"/>
          <w:lang w:val="en-US" w:eastAsia="zh-CN"/>
        </w:rPr>
        <w:t xml:space="preserve"> </w:t>
      </w:r>
      <w:r>
        <w:rPr>
          <w:rFonts w:hint="eastAsia" w:ascii="仿宋_GB2312" w:hAnsi="仿宋_GB2312" w:eastAsia="仿宋_GB2312" w:cs="仿宋_GB2312"/>
          <w:b/>
          <w:bCs/>
          <w:kern w:val="0"/>
          <w:sz w:val="32"/>
          <w:szCs w:val="32"/>
          <w:u w:val="none" w:color="auto"/>
        </w:rPr>
        <w:t>八、使用非财政拨款结余（含专用结余）：</w:t>
      </w:r>
      <w:r>
        <w:rPr>
          <w:rFonts w:hint="eastAsia" w:ascii="仿宋_GB2312" w:hAnsi="仿宋_GB2312" w:eastAsia="仿宋_GB2312" w:cs="仿宋_GB2312"/>
          <w:kern w:val="0"/>
          <w:sz w:val="32"/>
          <w:szCs w:val="32"/>
          <w:u w:val="none" w:color="auto"/>
        </w:rPr>
        <w:t>指事业单位按照预算管理要求使用非财政拨款结余</w:t>
      </w:r>
      <w:r>
        <w:rPr>
          <w:rFonts w:hint="eastAsia" w:ascii="仿宋_GB2312" w:hAnsi="仿宋_GB2312" w:eastAsia="仿宋_GB2312" w:cs="仿宋_GB2312"/>
          <w:color w:val="000000"/>
          <w:kern w:val="0"/>
          <w:sz w:val="32"/>
          <w:szCs w:val="32"/>
          <w:u w:val="none" w:color="auto"/>
        </w:rPr>
        <w:t>弥补收支差额的金额，以及使用专用结余安排支出的金额。</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kern w:val="0"/>
          <w:sz w:val="32"/>
          <w:szCs w:val="32"/>
          <w:u w:val="none" w:color="auto"/>
        </w:rPr>
      </w:pPr>
      <w:r>
        <w:rPr>
          <w:rFonts w:hint="eastAsia" w:ascii="仿宋_GB2312" w:hAnsi="仿宋_GB2312" w:eastAsia="仿宋_GB2312" w:cs="仿宋_GB2312"/>
          <w:b/>
          <w:bCs/>
          <w:kern w:val="0"/>
          <w:sz w:val="32"/>
          <w:szCs w:val="32"/>
          <w:u w:val="none" w:color="auto"/>
        </w:rPr>
        <w:t>九、年初结转和结余：</w:t>
      </w:r>
      <w:r>
        <w:rPr>
          <w:rFonts w:hint="eastAsia" w:ascii="仿宋_GB2312" w:hAnsi="仿宋_GB2312" w:eastAsia="仿宋_GB2312" w:cs="仿宋_GB2312"/>
          <w:kern w:val="0"/>
          <w:sz w:val="32"/>
          <w:szCs w:val="32"/>
          <w:u w:val="none" w:color="auto"/>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kern w:val="0"/>
          <w:sz w:val="32"/>
          <w:szCs w:val="32"/>
          <w:u w:val="none" w:color="auto"/>
        </w:rPr>
      </w:pPr>
      <w:r>
        <w:rPr>
          <w:rFonts w:hint="eastAsia" w:ascii="仿宋_GB2312" w:hAnsi="仿宋_GB2312" w:eastAsia="仿宋_GB2312" w:cs="仿宋_GB2312"/>
          <w:b/>
          <w:bCs/>
          <w:kern w:val="0"/>
          <w:sz w:val="32"/>
          <w:szCs w:val="32"/>
          <w:u w:val="none" w:color="auto"/>
        </w:rPr>
        <w:t>十、结余分配：</w:t>
      </w:r>
      <w:r>
        <w:rPr>
          <w:rFonts w:hint="eastAsia" w:ascii="仿宋_GB2312" w:hAnsi="仿宋_GB2312" w:eastAsia="仿宋_GB2312" w:cs="仿宋_GB2312"/>
          <w:kern w:val="0"/>
          <w:sz w:val="32"/>
          <w:szCs w:val="32"/>
          <w:u w:val="none" w:color="auto"/>
        </w:rPr>
        <w:t>指单位按规定缴纳企业所得税以及从非财政拨款结余或经营结余中提取各类结余的情况。</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kern w:val="0"/>
          <w:sz w:val="32"/>
          <w:szCs w:val="32"/>
          <w:u w:val="none" w:color="auto"/>
        </w:rPr>
      </w:pPr>
      <w:r>
        <w:rPr>
          <w:rFonts w:hint="eastAsia" w:ascii="仿宋_GB2312" w:hAnsi="仿宋_GB2312" w:eastAsia="仿宋_GB2312" w:cs="仿宋_GB2312"/>
          <w:b/>
          <w:bCs/>
          <w:kern w:val="0"/>
          <w:sz w:val="32"/>
          <w:szCs w:val="32"/>
          <w:u w:val="none" w:color="auto"/>
        </w:rPr>
        <w:t>十一、年末结转和结余资金：</w:t>
      </w:r>
      <w:r>
        <w:rPr>
          <w:rFonts w:hint="eastAsia" w:ascii="仿宋_GB2312" w:hAnsi="仿宋_GB2312" w:eastAsia="仿宋_GB2312" w:cs="仿宋_GB2312"/>
          <w:kern w:val="0"/>
          <w:sz w:val="32"/>
          <w:szCs w:val="32"/>
          <w:u w:val="none" w:color="auto"/>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kern w:val="0"/>
          <w:sz w:val="32"/>
          <w:szCs w:val="32"/>
          <w:u w:val="none" w:color="auto"/>
        </w:rPr>
      </w:pPr>
      <w:r>
        <w:rPr>
          <w:rFonts w:hint="eastAsia" w:ascii="仿宋_GB2312" w:hAnsi="仿宋_GB2312" w:eastAsia="仿宋_GB2312" w:cs="仿宋_GB2312"/>
          <w:b/>
          <w:bCs/>
          <w:kern w:val="0"/>
          <w:sz w:val="32"/>
          <w:szCs w:val="32"/>
          <w:u w:val="none" w:color="auto"/>
        </w:rPr>
        <w:t>十二、基本支出：</w:t>
      </w:r>
      <w:r>
        <w:rPr>
          <w:rFonts w:hint="eastAsia" w:ascii="仿宋_GB2312" w:hAnsi="仿宋_GB2312" w:eastAsia="仿宋_GB2312" w:cs="仿宋_GB2312"/>
          <w:kern w:val="0"/>
          <w:sz w:val="32"/>
          <w:szCs w:val="32"/>
          <w:u w:val="none" w:color="auto"/>
        </w:rPr>
        <w:t>指为保障机构正常运转、完成日常工作任务所发生的支出，包括人员经费和公用经费。</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kern w:val="0"/>
          <w:sz w:val="32"/>
          <w:szCs w:val="32"/>
          <w:u w:val="none" w:color="auto"/>
        </w:rPr>
      </w:pPr>
      <w:r>
        <w:rPr>
          <w:rFonts w:hint="eastAsia" w:ascii="仿宋_GB2312" w:hAnsi="仿宋_GB2312" w:eastAsia="仿宋_GB2312" w:cs="仿宋_GB2312"/>
          <w:b/>
          <w:bCs/>
          <w:kern w:val="0"/>
          <w:sz w:val="32"/>
          <w:szCs w:val="32"/>
          <w:u w:val="none" w:color="auto"/>
        </w:rPr>
        <w:t>十三、项目支出：</w:t>
      </w:r>
      <w:r>
        <w:rPr>
          <w:rFonts w:hint="eastAsia" w:ascii="仿宋_GB2312" w:hAnsi="仿宋_GB2312" w:eastAsia="仿宋_GB2312" w:cs="仿宋_GB2312"/>
          <w:kern w:val="0"/>
          <w:sz w:val="32"/>
          <w:szCs w:val="32"/>
          <w:u w:val="none" w:color="auto"/>
        </w:rPr>
        <w:t>指在为完成特定的行政工作任务或事业发展目标所发生的支出。</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kern w:val="0"/>
          <w:sz w:val="32"/>
          <w:szCs w:val="32"/>
          <w:u w:val="none" w:color="auto"/>
        </w:rPr>
      </w:pPr>
      <w:r>
        <w:rPr>
          <w:rFonts w:hint="eastAsia" w:ascii="仿宋_GB2312" w:hAnsi="仿宋_GB2312" w:eastAsia="仿宋_GB2312" w:cs="仿宋_GB2312"/>
          <w:b/>
          <w:bCs/>
          <w:kern w:val="0"/>
          <w:sz w:val="32"/>
          <w:szCs w:val="32"/>
          <w:u w:val="none" w:color="auto"/>
        </w:rPr>
        <w:t>十四、上缴上级支出：</w:t>
      </w:r>
      <w:r>
        <w:rPr>
          <w:rFonts w:hint="eastAsia" w:ascii="仿宋_GB2312" w:hAnsi="仿宋_GB2312" w:eastAsia="仿宋_GB2312" w:cs="仿宋_GB2312"/>
          <w:kern w:val="0"/>
          <w:sz w:val="32"/>
          <w:szCs w:val="32"/>
          <w:u w:val="none" w:color="auto"/>
        </w:rPr>
        <w:t>指事业单位按照财政部门和主管部门的规定上缴上级单位的支出。</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kern w:val="0"/>
          <w:sz w:val="32"/>
          <w:szCs w:val="32"/>
          <w:u w:val="none" w:color="auto"/>
        </w:rPr>
      </w:pPr>
      <w:r>
        <w:rPr>
          <w:rFonts w:hint="eastAsia" w:ascii="仿宋_GB2312" w:hAnsi="仿宋_GB2312" w:eastAsia="仿宋_GB2312" w:cs="仿宋_GB2312"/>
          <w:b/>
          <w:bCs/>
          <w:kern w:val="0"/>
          <w:sz w:val="32"/>
          <w:szCs w:val="32"/>
          <w:u w:val="none" w:color="auto"/>
        </w:rPr>
        <w:t>十五、经营支出：</w:t>
      </w:r>
      <w:r>
        <w:rPr>
          <w:rFonts w:hint="eastAsia" w:ascii="仿宋_GB2312" w:hAnsi="仿宋_GB2312" w:eastAsia="仿宋_GB2312" w:cs="仿宋_GB2312"/>
          <w:kern w:val="0"/>
          <w:sz w:val="32"/>
          <w:szCs w:val="32"/>
          <w:u w:val="none" w:color="auto"/>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kern w:val="0"/>
          <w:sz w:val="32"/>
          <w:szCs w:val="32"/>
          <w:u w:val="none" w:color="auto"/>
        </w:rPr>
      </w:pPr>
      <w:r>
        <w:rPr>
          <w:rFonts w:hint="eastAsia" w:ascii="仿宋_GB2312" w:hAnsi="仿宋_GB2312" w:eastAsia="仿宋_GB2312" w:cs="仿宋_GB2312"/>
          <w:b/>
          <w:bCs/>
          <w:kern w:val="0"/>
          <w:sz w:val="32"/>
          <w:szCs w:val="32"/>
          <w:u w:val="none" w:color="auto"/>
        </w:rPr>
        <w:t>十六、对附属单位补助支出：</w:t>
      </w:r>
      <w:r>
        <w:rPr>
          <w:rFonts w:hint="eastAsia" w:ascii="仿宋_GB2312" w:hAnsi="仿宋_GB2312" w:eastAsia="仿宋_GB2312" w:cs="仿宋_GB2312"/>
          <w:kern w:val="0"/>
          <w:sz w:val="32"/>
          <w:szCs w:val="32"/>
          <w:u w:val="none" w:color="auto"/>
        </w:rPr>
        <w:t>指事业单位用财政拨款收入之外的收入对附属单位补助发生的支出。</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kern w:val="0"/>
          <w:sz w:val="32"/>
          <w:szCs w:val="32"/>
          <w:u w:val="none" w:color="auto"/>
        </w:rPr>
      </w:pPr>
      <w:r>
        <w:rPr>
          <w:rFonts w:hint="eastAsia" w:ascii="仿宋_GB2312" w:hAnsi="仿宋_GB2312" w:eastAsia="仿宋_GB2312" w:cs="仿宋_GB2312"/>
          <w:b/>
          <w:bCs/>
          <w:kern w:val="0"/>
          <w:sz w:val="32"/>
          <w:szCs w:val="32"/>
          <w:u w:val="none" w:color="auto"/>
        </w:rPr>
        <w:t> 十七、“三公”经费：</w:t>
      </w:r>
      <w:r>
        <w:rPr>
          <w:rFonts w:hint="eastAsia" w:ascii="仿宋_GB2312" w:hAnsi="仿宋_GB2312" w:eastAsia="仿宋_GB2312" w:cs="仿宋_GB2312"/>
          <w:kern w:val="0"/>
          <w:sz w:val="32"/>
          <w:szCs w:val="32"/>
          <w:u w:val="none" w:color="auto"/>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kern w:val="0"/>
          <w:sz w:val="32"/>
          <w:szCs w:val="32"/>
          <w:u w:val="none" w:color="auto"/>
        </w:rPr>
      </w:pPr>
      <w:r>
        <w:rPr>
          <w:rFonts w:hint="eastAsia" w:ascii="仿宋_GB2312" w:hAnsi="仿宋_GB2312" w:eastAsia="仿宋_GB2312" w:cs="仿宋_GB2312"/>
          <w:b/>
          <w:bCs/>
          <w:kern w:val="0"/>
          <w:sz w:val="32"/>
          <w:szCs w:val="32"/>
          <w:u w:val="none" w:color="auto"/>
        </w:rPr>
        <w:t>十八、机关运行经费：</w:t>
      </w:r>
      <w:r>
        <w:rPr>
          <w:rFonts w:hint="eastAsia" w:ascii="仿宋_GB2312" w:hAnsi="仿宋_GB2312" w:eastAsia="仿宋_GB2312" w:cs="仿宋_GB2312"/>
          <w:color w:val="000000"/>
          <w:kern w:val="0"/>
          <w:sz w:val="32"/>
          <w:szCs w:val="32"/>
          <w:u w:val="none" w:color="auto"/>
        </w:rPr>
        <w:t>指行政单位和参照公务员法管理的事业单位财政拨款</w:t>
      </w:r>
      <w:r>
        <w:rPr>
          <w:rFonts w:hint="eastAsia" w:ascii="仿宋_GB2312" w:hAnsi="仿宋_GB2312" w:eastAsia="仿宋_GB2312" w:cs="仿宋_GB2312"/>
          <w:kern w:val="0"/>
          <w:sz w:val="32"/>
          <w:szCs w:val="32"/>
          <w:u w:val="none" w:color="auto"/>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pPr>
        <w:widowControl/>
        <w:spacing w:before="240" w:after="240"/>
        <w:jc w:val="left"/>
        <w:rPr>
          <w:rFonts w:ascii="Times New Roman" w:hAnsi="Times New Roman" w:eastAsia="Times New Roman" w:cs="Times New Roman"/>
          <w:kern w:val="0"/>
          <w:sz w:val="24"/>
          <w:u w:val="none" w:color="auto"/>
        </w:rPr>
      </w:pPr>
      <w:r>
        <w:rPr>
          <w:rFonts w:ascii="仿宋_GB2312" w:hAnsi="仿宋_GB2312" w:eastAsia="仿宋_GB2312" w:cs="仿宋_GB2312"/>
          <w:color w:val="0E00FE"/>
          <w:kern w:val="0"/>
          <w:sz w:val="27"/>
          <w:szCs w:val="27"/>
          <w:u w:val="none" w:color="auto"/>
        </w:rPr>
        <w:t xml:space="preserve">  </w:t>
      </w:r>
    </w:p>
    <w:p>
      <w:pPr>
        <w:rPr>
          <w:rFonts w:hint="eastAsia" w:ascii="方正小标宋简体" w:hAnsi="方正小标宋简体" w:eastAsia="方正小标宋简体" w:cs="Times New Roman"/>
          <w:b w:val="0"/>
          <w:bCs w:val="0"/>
          <w:color w:val="auto"/>
          <w:kern w:val="2"/>
          <w:sz w:val="36"/>
          <w:szCs w:val="22"/>
          <w:u w:val="none" w:color="auto"/>
          <w:lang w:val="en-US" w:eastAsia="zh-CN" w:bidi="ar-SA"/>
        </w:rPr>
      </w:pPr>
      <w:r>
        <w:rPr>
          <w:rFonts w:hint="eastAsia" w:ascii="方正小标宋简体" w:hAnsi="方正小标宋简体" w:eastAsia="方正小标宋简体" w:cs="Times New Roman"/>
          <w:b w:val="0"/>
          <w:bCs w:val="0"/>
          <w:color w:val="auto"/>
          <w:kern w:val="2"/>
          <w:sz w:val="36"/>
          <w:szCs w:val="22"/>
          <w:u w:val="none" w:color="auto"/>
          <w:lang w:val="en-US" w:eastAsia="zh-CN" w:bidi="ar-SA"/>
        </w:rPr>
        <w:br w:type="page"/>
      </w:r>
    </w:p>
    <w:p>
      <w:pPr>
        <w:pStyle w:val="5"/>
        <w:keepNext w:val="0"/>
        <w:keepLines w:val="0"/>
        <w:widowControl/>
        <w:spacing w:before="299" w:after="299" w:line="240" w:lineRule="auto"/>
        <w:jc w:val="center"/>
        <w:rPr>
          <w:rFonts w:hint="eastAsia" w:ascii="方正小标宋简体" w:hAnsi="方正小标宋简体" w:eastAsia="方正小标宋简体" w:cs="Times New Roman"/>
          <w:b w:val="0"/>
          <w:bCs w:val="0"/>
          <w:color w:val="auto"/>
          <w:kern w:val="2"/>
          <w:sz w:val="36"/>
          <w:szCs w:val="22"/>
          <w:u w:val="none" w:color="auto"/>
          <w:lang w:val="en-US" w:eastAsia="zh-CN" w:bidi="ar-SA"/>
        </w:rPr>
      </w:pPr>
      <w:r>
        <w:rPr>
          <w:rFonts w:hint="eastAsia" w:ascii="方正小标宋简体" w:hAnsi="方正小标宋简体" w:eastAsia="方正小标宋简体" w:cs="Times New Roman"/>
          <w:b w:val="0"/>
          <w:bCs w:val="0"/>
          <w:color w:val="auto"/>
          <w:kern w:val="2"/>
          <w:sz w:val="36"/>
          <w:szCs w:val="22"/>
          <w:u w:val="none" w:color="auto"/>
          <w:lang w:val="en-US" w:eastAsia="zh-CN" w:bidi="ar-SA"/>
        </w:rPr>
        <w:t>第四部分 决算公开联系方式及信息反馈渠道</w:t>
      </w:r>
    </w:p>
    <w:p>
      <w:pPr>
        <w:keepNext w:val="0"/>
        <w:keepLines w:val="0"/>
        <w:pageBreakBefore w:val="0"/>
        <w:widowControl/>
        <w:kinsoku/>
        <w:wordWrap/>
        <w:overflowPunct/>
        <w:topLinePunct w:val="0"/>
        <w:autoSpaceDE/>
        <w:autoSpaceDN/>
        <w:bidi w:val="0"/>
        <w:adjustRightInd/>
        <w:snapToGrid/>
        <w:spacing w:before="240" w:after="240"/>
        <w:ind w:firstLine="640" w:firstLineChars="200"/>
        <w:jc w:val="left"/>
        <w:textAlignment w:val="auto"/>
        <w:rPr>
          <w:rFonts w:hint="eastAsia" w:ascii="仿宋_GB2312" w:hAnsi="仿宋_GB2312" w:eastAsia="仿宋_GB2312" w:cs="仿宋_GB2312"/>
          <w:kern w:val="0"/>
          <w:sz w:val="32"/>
          <w:szCs w:val="32"/>
          <w:u w:val="none" w:color="auto"/>
        </w:rPr>
      </w:pPr>
      <w:r>
        <w:rPr>
          <w:rFonts w:hint="eastAsia" w:ascii="仿宋_GB2312" w:hAnsi="仿宋_GB2312" w:eastAsia="仿宋_GB2312" w:cs="仿宋_GB2312"/>
          <w:kern w:val="0"/>
          <w:sz w:val="32"/>
          <w:szCs w:val="32"/>
          <w:u w:val="none" w:color="auto"/>
        </w:rPr>
        <w:t>本</w:t>
      </w:r>
      <w:r>
        <w:rPr>
          <w:rFonts w:hint="eastAsia" w:ascii="仿宋_GB2312" w:hAnsi="仿宋_GB2312" w:eastAsia="仿宋_GB2312" w:cs="仿宋_GB2312"/>
          <w:kern w:val="0"/>
          <w:sz w:val="32"/>
          <w:szCs w:val="32"/>
          <w:u w:val="none" w:color="auto"/>
          <w:lang w:val="en-US" w:eastAsia="zh-CN"/>
        </w:rPr>
        <w:t>部门</w:t>
      </w:r>
      <w:r>
        <w:rPr>
          <w:rFonts w:hint="eastAsia" w:ascii="仿宋_GB2312" w:hAnsi="仿宋_GB2312" w:eastAsia="仿宋_GB2312" w:cs="仿宋_GB2312"/>
          <w:kern w:val="0"/>
          <w:sz w:val="32"/>
          <w:szCs w:val="32"/>
          <w:u w:val="none" w:color="auto"/>
        </w:rPr>
        <w:t>决算公开信息反馈和联系方式：</w:t>
      </w:r>
    </w:p>
    <w:p>
      <w:pPr>
        <w:widowControl/>
        <w:spacing w:before="240" w:after="240"/>
        <w:ind w:firstLine="960" w:firstLineChars="300"/>
        <w:jc w:val="left"/>
        <w:rPr>
          <w:rFonts w:hint="eastAsia" w:ascii="仿宋_GB2312" w:hAnsi="仿宋_GB2312" w:eastAsia="仿宋_GB2312" w:cs="仿宋_GB2312"/>
          <w:kern w:val="0"/>
          <w:sz w:val="32"/>
          <w:szCs w:val="32"/>
          <w:u w:val="none" w:color="auto"/>
        </w:rPr>
      </w:pPr>
      <w:r>
        <w:rPr>
          <w:rFonts w:hint="eastAsia" w:ascii="仿宋_GB2312" w:hAnsi="仿宋_GB2312" w:eastAsia="仿宋_GB2312" w:cs="仿宋_GB2312"/>
          <w:kern w:val="0"/>
          <w:sz w:val="32"/>
          <w:szCs w:val="32"/>
          <w:u w:val="none" w:color="auto"/>
        </w:rPr>
        <w:t>联系人：田丰           联系电话：0478-4260179</w:t>
      </w:r>
    </w:p>
    <w:p>
      <w:pPr>
        <w:widowControl/>
        <w:spacing w:before="240" w:after="240"/>
        <w:jc w:val="left"/>
        <w:rPr>
          <w:rFonts w:hint="eastAsia" w:ascii="仿宋_GB2312" w:hAnsi="仿宋_GB2312" w:eastAsia="仿宋_GB2312" w:cs="仿宋_GB2312"/>
          <w:kern w:val="0"/>
          <w:sz w:val="32"/>
          <w:szCs w:val="32"/>
          <w:u w:val="none" w:color="auto"/>
        </w:rPr>
      </w:pPr>
    </w:p>
    <w:p>
      <w:pPr>
        <w:rPr>
          <w:rFonts w:hint="eastAsia" w:ascii="方正小标宋简体" w:hAnsi="方正小标宋简体" w:eastAsia="方正小标宋简体" w:cs="Times New Roman"/>
          <w:b w:val="0"/>
          <w:bCs w:val="0"/>
          <w:color w:val="auto"/>
          <w:kern w:val="2"/>
          <w:sz w:val="36"/>
          <w:szCs w:val="22"/>
          <w:u w:val="none" w:color="auto"/>
          <w:lang w:val="en-US" w:eastAsia="zh-CN" w:bidi="ar-SA"/>
        </w:rPr>
      </w:pPr>
      <w:r>
        <w:rPr>
          <w:rFonts w:hint="eastAsia" w:ascii="方正小标宋简体" w:hAnsi="方正小标宋简体" w:eastAsia="方正小标宋简体" w:cs="Times New Roman"/>
          <w:b w:val="0"/>
          <w:bCs w:val="0"/>
          <w:color w:val="auto"/>
          <w:kern w:val="2"/>
          <w:sz w:val="36"/>
          <w:szCs w:val="22"/>
          <w:u w:val="none" w:color="auto"/>
          <w:lang w:val="en-US" w:eastAsia="zh-CN" w:bidi="ar-SA"/>
        </w:rPr>
        <w:br w:type="page"/>
      </w:r>
    </w:p>
    <w:p>
      <w:pPr>
        <w:pStyle w:val="5"/>
        <w:keepNext w:val="0"/>
        <w:keepLines w:val="0"/>
        <w:widowControl/>
        <w:spacing w:before="299" w:after="299" w:line="240" w:lineRule="auto"/>
        <w:jc w:val="center"/>
        <w:rPr>
          <w:rFonts w:hint="eastAsia" w:ascii="方正小标宋简体" w:hAnsi="方正小标宋简体" w:eastAsia="方正小标宋简体" w:cs="Times New Roman"/>
          <w:b w:val="0"/>
          <w:bCs w:val="0"/>
          <w:color w:val="auto"/>
          <w:kern w:val="2"/>
          <w:sz w:val="36"/>
          <w:szCs w:val="22"/>
          <w:u w:val="none" w:color="auto"/>
          <w:lang w:val="en-US" w:eastAsia="zh-CN" w:bidi="ar-SA"/>
        </w:rPr>
      </w:pPr>
      <w:r>
        <w:rPr>
          <w:rFonts w:hint="eastAsia" w:ascii="方正小标宋简体" w:hAnsi="方正小标宋简体" w:eastAsia="方正小标宋简体" w:cs="Times New Roman"/>
          <w:b w:val="0"/>
          <w:bCs w:val="0"/>
          <w:color w:val="auto"/>
          <w:kern w:val="2"/>
          <w:sz w:val="36"/>
          <w:szCs w:val="22"/>
          <w:u w:val="none" w:color="auto"/>
          <w:lang w:val="en-US" w:eastAsia="zh-CN" w:bidi="ar-SA"/>
        </w:rPr>
        <w:t>第五部分 部门决算表</w:t>
      </w:r>
    </w:p>
    <w:p>
      <w:pPr>
        <w:widowControl/>
        <w:spacing w:before="240" w:after="240"/>
        <w:jc w:val="center"/>
        <w:rPr>
          <w:rFonts w:ascii="Times New Roman" w:hAnsi="Times New Roman" w:eastAsia="Times New Roman" w:cs="Times New Roman"/>
          <w:kern w:val="0"/>
          <w:sz w:val="24"/>
          <w:u w:val="none" w:color="auto"/>
        </w:rPr>
      </w:pPr>
    </w:p>
    <w:p>
      <w:pPr>
        <w:widowControl/>
        <w:spacing w:before="240" w:after="240"/>
        <w:jc w:val="left"/>
        <w:rPr>
          <w:rFonts w:ascii="Times New Roman" w:hAnsi="Times New Roman" w:eastAsia="Times New Roman" w:cs="Times New Roman"/>
          <w:kern w:val="0"/>
          <w:sz w:val="24"/>
          <w:u w:val="none" w:color="auto"/>
        </w:rPr>
      </w:pPr>
      <w:r>
        <w:rPr>
          <w:rFonts w:ascii="仿宋_GB2312" w:hAnsi="仿宋_GB2312" w:eastAsia="仿宋_GB2312" w:cs="仿宋_GB2312"/>
          <w:kern w:val="0"/>
          <w:sz w:val="27"/>
          <w:szCs w:val="27"/>
          <w:u w:val="none" w:color="auto"/>
        </w:rPr>
        <w:t> </w:t>
      </w:r>
      <w:r>
        <w:rPr>
          <w:rFonts w:hint="eastAsia" w:ascii="仿宋_GB2312" w:hAnsi="仿宋_GB2312" w:eastAsia="仿宋_GB2312" w:cs="仿宋_GB2312"/>
          <w:kern w:val="0"/>
          <w:sz w:val="32"/>
          <w:szCs w:val="32"/>
          <w:u w:val="none" w:color="auto"/>
        </w:rPr>
        <w:t xml:space="preserve">   见附件。</w:t>
      </w:r>
    </w:p>
    <w:p>
      <w:pPr>
        <w:widowControl/>
        <w:spacing w:before="240" w:after="240"/>
        <w:jc w:val="left"/>
        <w:rPr>
          <w:rFonts w:ascii="Times New Roman" w:hAnsi="Times New Roman" w:eastAsia="Times New Roman" w:cs="Times New Roman"/>
          <w:kern w:val="0"/>
          <w:sz w:val="24"/>
          <w:u w:val="none" w:color="auto"/>
        </w:rPr>
      </w:pPr>
    </w:p>
    <w:p>
      <w:pPr>
        <w:widowControl/>
        <w:spacing w:before="240" w:after="240"/>
        <w:jc w:val="left"/>
        <w:rPr>
          <w:rFonts w:ascii="Times New Roman" w:hAnsi="Times New Roman" w:eastAsia="Times New Roman" w:cs="Times New Roman"/>
          <w:kern w:val="0"/>
          <w:sz w:val="24"/>
          <w:u w:val="none" w:color="auto"/>
        </w:rPr>
      </w:pPr>
    </w:p>
    <w:p>
      <w:pPr>
        <w:widowControl/>
        <w:spacing w:before="240" w:after="240"/>
        <w:jc w:val="left"/>
        <w:rPr>
          <w:rFonts w:ascii="Times New Roman" w:hAnsi="Times New Roman" w:eastAsia="Times New Roman" w:cs="Times New Roman"/>
          <w:kern w:val="0"/>
          <w:sz w:val="24"/>
          <w:u w:val="none" w:color="auto"/>
        </w:rPr>
      </w:pPr>
    </w:p>
    <w:p>
      <w:pPr>
        <w:widowControl/>
        <w:spacing w:before="240" w:after="240"/>
        <w:jc w:val="left"/>
        <w:rPr>
          <w:rFonts w:ascii="Times New Roman" w:hAnsi="Times New Roman" w:eastAsia="Times New Roman" w:cs="Times New Roman"/>
          <w:kern w:val="0"/>
          <w:sz w:val="24"/>
          <w:u w:val="none" w:color="auto"/>
        </w:rPr>
      </w:pPr>
    </w:p>
    <w:bookmarkEnd w:id="0"/>
    <w:p>
      <w:pPr>
        <w:adjustRightInd w:val="0"/>
        <w:snapToGrid w:val="0"/>
        <w:rPr>
          <w:rFonts w:ascii="宋体" w:hAnsi="宋体"/>
          <w:b/>
          <w:sz w:val="32"/>
          <w:szCs w:val="32"/>
          <w:u w:val="none" w:color="auto"/>
        </w:rPr>
      </w:pPr>
    </w:p>
    <w:p>
      <w:pPr>
        <w:adjustRightInd w:val="0"/>
        <w:snapToGrid w:val="0"/>
        <w:rPr>
          <w:rFonts w:ascii="宋体" w:hAnsi="宋体"/>
          <w:b/>
          <w:sz w:val="32"/>
          <w:szCs w:val="32"/>
          <w:u w:val="none" w:color="auto"/>
        </w:rPr>
      </w:pPr>
    </w:p>
    <w:p>
      <w:pPr>
        <w:tabs>
          <w:tab w:val="left" w:pos="8415"/>
        </w:tabs>
        <w:rPr>
          <w:u w:val="none" w:color="auto"/>
        </w:rPr>
      </w:pPr>
    </w:p>
    <w:sectPr>
      <w:footerReference r:id="rId4" w:type="default"/>
      <w:pgSz w:w="11906" w:h="16838"/>
      <w:pgMar w:top="1440" w:right="1803" w:bottom="1440" w:left="180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_zheng_xiao_biao_song_ti">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7A"/>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kai_ti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26</w:t>
    </w:r>
    <w:r>
      <w:rPr>
        <w:lang w:val="zh-CN"/>
      </w:rPr>
      <w:fldChar w:fldCharType="end"/>
    </w:r>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F661C9"/>
    <w:multiLevelType w:val="singleLevel"/>
    <w:tmpl w:val="C9F661C9"/>
    <w:lvl w:ilvl="0" w:tentative="0">
      <w:start w:val="1"/>
      <w:numFmt w:val="decimal"/>
      <w:suff w:val="nothing"/>
      <w:lvlText w:val="%1、"/>
      <w:lvlJc w:val="left"/>
    </w:lvl>
  </w:abstractNum>
  <w:abstractNum w:abstractNumId="1">
    <w:nsid w:val="CD0F61B2"/>
    <w:multiLevelType w:val="singleLevel"/>
    <w:tmpl w:val="CD0F61B2"/>
    <w:lvl w:ilvl="0" w:tentative="0">
      <w:start w:val="2"/>
      <w:numFmt w:val="chineseCounting"/>
      <w:suff w:val="nothing"/>
      <w:lvlText w:val="（%1）"/>
      <w:lvlJc w:val="left"/>
      <w:pPr>
        <w:ind w:left="481"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01A7248B"/>
    <w:rsid w:val="0203707D"/>
    <w:rsid w:val="05380694"/>
    <w:rsid w:val="065B351C"/>
    <w:rsid w:val="06E13A52"/>
    <w:rsid w:val="07315034"/>
    <w:rsid w:val="07A237E7"/>
    <w:rsid w:val="08B63E6F"/>
    <w:rsid w:val="0A1D7BDF"/>
    <w:rsid w:val="0A493E46"/>
    <w:rsid w:val="0B6C0262"/>
    <w:rsid w:val="0D2470D9"/>
    <w:rsid w:val="111837CA"/>
    <w:rsid w:val="12757B53"/>
    <w:rsid w:val="12CE7179"/>
    <w:rsid w:val="14804787"/>
    <w:rsid w:val="14F84766"/>
    <w:rsid w:val="16453D9E"/>
    <w:rsid w:val="19BC3A04"/>
    <w:rsid w:val="1A5B03AE"/>
    <w:rsid w:val="1B85134C"/>
    <w:rsid w:val="1BDF7868"/>
    <w:rsid w:val="1C41143F"/>
    <w:rsid w:val="1DC85000"/>
    <w:rsid w:val="1EC315FC"/>
    <w:rsid w:val="202651A4"/>
    <w:rsid w:val="22353B62"/>
    <w:rsid w:val="22FE3F05"/>
    <w:rsid w:val="231B6827"/>
    <w:rsid w:val="23C14805"/>
    <w:rsid w:val="261E20CE"/>
    <w:rsid w:val="26C6357F"/>
    <w:rsid w:val="29790626"/>
    <w:rsid w:val="31EA371C"/>
    <w:rsid w:val="3275296E"/>
    <w:rsid w:val="330429A5"/>
    <w:rsid w:val="3422330B"/>
    <w:rsid w:val="37D0039E"/>
    <w:rsid w:val="3816426C"/>
    <w:rsid w:val="39A0063A"/>
    <w:rsid w:val="3F0D5B8F"/>
    <w:rsid w:val="3F736DE7"/>
    <w:rsid w:val="43F87F0D"/>
    <w:rsid w:val="44816A33"/>
    <w:rsid w:val="44EC708C"/>
    <w:rsid w:val="458853DF"/>
    <w:rsid w:val="48F7581E"/>
    <w:rsid w:val="49097003"/>
    <w:rsid w:val="49187F97"/>
    <w:rsid w:val="4B5D2D6D"/>
    <w:rsid w:val="4B723F6A"/>
    <w:rsid w:val="4BF12039"/>
    <w:rsid w:val="4C31212C"/>
    <w:rsid w:val="4C4E251F"/>
    <w:rsid w:val="4C4F0F3B"/>
    <w:rsid w:val="4DF81CC9"/>
    <w:rsid w:val="4E2117ED"/>
    <w:rsid w:val="4EA8506F"/>
    <w:rsid w:val="51462C9F"/>
    <w:rsid w:val="51CD438B"/>
    <w:rsid w:val="523231E8"/>
    <w:rsid w:val="53337D41"/>
    <w:rsid w:val="53EF3C07"/>
    <w:rsid w:val="551039B6"/>
    <w:rsid w:val="56C04831"/>
    <w:rsid w:val="57AE6427"/>
    <w:rsid w:val="59F51B2C"/>
    <w:rsid w:val="5A966FAC"/>
    <w:rsid w:val="5D315FA5"/>
    <w:rsid w:val="5FCD2F8F"/>
    <w:rsid w:val="62377D30"/>
    <w:rsid w:val="649E17C8"/>
    <w:rsid w:val="65D33EE7"/>
    <w:rsid w:val="66674F95"/>
    <w:rsid w:val="67B54E66"/>
    <w:rsid w:val="68D7629D"/>
    <w:rsid w:val="6B840F73"/>
    <w:rsid w:val="6D5D6B49"/>
    <w:rsid w:val="6E0459EC"/>
    <w:rsid w:val="6E354D41"/>
    <w:rsid w:val="6EA5079F"/>
    <w:rsid w:val="6F6C770E"/>
    <w:rsid w:val="6FB666FC"/>
    <w:rsid w:val="706417CB"/>
    <w:rsid w:val="735B230D"/>
    <w:rsid w:val="73F769AC"/>
    <w:rsid w:val="74405859"/>
    <w:rsid w:val="756C6626"/>
    <w:rsid w:val="75FB485F"/>
    <w:rsid w:val="778354D0"/>
    <w:rsid w:val="77B61D21"/>
    <w:rsid w:val="786D10B3"/>
    <w:rsid w:val="79921CDB"/>
    <w:rsid w:val="7992665B"/>
    <w:rsid w:val="7A3009C6"/>
    <w:rsid w:val="7C5B6ABC"/>
    <w:rsid w:val="7CE32861"/>
    <w:rsid w:val="7D653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29"/>
    <w:qFormat/>
    <w:uiPriority w:val="0"/>
    <w:pPr>
      <w:keepNext/>
      <w:keepLines/>
      <w:spacing w:before="260" w:after="260" w:line="416" w:lineRule="auto"/>
      <w:outlineLvl w:val="2"/>
    </w:pPr>
    <w:rPr>
      <w:b/>
      <w:bCs/>
      <w:sz w:val="32"/>
      <w:szCs w:val="32"/>
    </w:rPr>
  </w:style>
  <w:style w:type="paragraph" w:styleId="7">
    <w:name w:val="heading 4"/>
    <w:basedOn w:val="1"/>
    <w:next w:val="1"/>
    <w:link w:val="24"/>
    <w:qFormat/>
    <w:uiPriority w:val="0"/>
    <w:pPr>
      <w:keepNext/>
      <w:keepLines/>
      <w:spacing w:before="280" w:after="290" w:line="376" w:lineRule="auto"/>
      <w:outlineLvl w:val="3"/>
    </w:pPr>
    <w:rPr>
      <w:rFonts w:ascii="Cambria" w:hAnsi="Cambria"/>
      <w:b/>
      <w:bCs/>
      <w:sz w:val="28"/>
      <w:szCs w:val="28"/>
    </w:rPr>
  </w:style>
  <w:style w:type="character" w:default="1" w:styleId="20">
    <w:name w:val="Default Paragraph Font"/>
    <w:semiHidden/>
    <w:unhideWhenUsed/>
    <w:qFormat/>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Body Text First Indent1"/>
    <w:basedOn w:val="3"/>
    <w:unhideWhenUsed/>
    <w:qFormat/>
    <w:uiPriority w:val="0"/>
    <w:pPr>
      <w:spacing w:beforeLines="0" w:afterLines="0"/>
      <w:ind w:firstLine="100" w:firstLineChars="100"/>
    </w:pPr>
    <w:rPr>
      <w:rFonts w:hint="eastAsia"/>
      <w:sz w:val="44"/>
    </w:rPr>
  </w:style>
  <w:style w:type="paragraph" w:customStyle="1" w:styleId="3">
    <w:name w:val="Body Text1"/>
    <w:basedOn w:val="1"/>
    <w:unhideWhenUsed/>
    <w:qFormat/>
    <w:uiPriority w:val="0"/>
    <w:pPr>
      <w:spacing w:beforeLines="0" w:afterLines="0"/>
    </w:pPr>
    <w:rPr>
      <w:rFonts w:hint="eastAsia" w:ascii="宋体" w:eastAsia="宋体"/>
      <w:b/>
      <w:sz w:val="44"/>
    </w:rPr>
  </w:style>
  <w:style w:type="paragraph" w:styleId="8">
    <w:name w:val="toc 7"/>
    <w:basedOn w:val="1"/>
    <w:next w:val="1"/>
    <w:qFormat/>
    <w:uiPriority w:val="0"/>
    <w:pPr>
      <w:ind w:left="1260"/>
      <w:jc w:val="left"/>
    </w:pPr>
    <w:rPr>
      <w:sz w:val="20"/>
      <w:szCs w:val="20"/>
    </w:rPr>
  </w:style>
  <w:style w:type="paragraph" w:styleId="9">
    <w:name w:val="Document Map"/>
    <w:basedOn w:val="1"/>
    <w:qFormat/>
    <w:uiPriority w:val="0"/>
    <w:pPr>
      <w:shd w:val="clear" w:color="auto" w:fill="000080"/>
    </w:pPr>
  </w:style>
  <w:style w:type="paragraph" w:styleId="10">
    <w:name w:val="toc 5"/>
    <w:basedOn w:val="1"/>
    <w:next w:val="1"/>
    <w:qFormat/>
    <w:uiPriority w:val="0"/>
    <w:pPr>
      <w:ind w:left="840"/>
      <w:jc w:val="left"/>
    </w:pPr>
    <w:rPr>
      <w:sz w:val="20"/>
      <w:szCs w:val="20"/>
    </w:rPr>
  </w:style>
  <w:style w:type="paragraph" w:styleId="11">
    <w:name w:val="toc 3"/>
    <w:basedOn w:val="1"/>
    <w:next w:val="1"/>
    <w:qFormat/>
    <w:uiPriority w:val="0"/>
    <w:pPr>
      <w:adjustRightInd w:val="0"/>
      <w:snapToGrid w:val="0"/>
      <w:spacing w:line="360" w:lineRule="auto"/>
      <w:ind w:firstLine="400" w:firstLineChars="400"/>
      <w:jc w:val="left"/>
    </w:pPr>
    <w:rPr>
      <w:sz w:val="24"/>
      <w:szCs w:val="20"/>
    </w:rPr>
  </w:style>
  <w:style w:type="paragraph" w:styleId="12">
    <w:name w:val="toc 8"/>
    <w:basedOn w:val="1"/>
    <w:next w:val="1"/>
    <w:qFormat/>
    <w:uiPriority w:val="0"/>
    <w:pPr>
      <w:ind w:left="1470"/>
      <w:jc w:val="left"/>
    </w:pPr>
    <w:rPr>
      <w:sz w:val="20"/>
      <w:szCs w:val="20"/>
    </w:rPr>
  </w:style>
  <w:style w:type="paragraph" w:styleId="13">
    <w:name w:val="footer"/>
    <w:basedOn w:val="1"/>
    <w:link w:val="27"/>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adjustRightInd w:val="0"/>
      <w:snapToGrid w:val="0"/>
      <w:spacing w:line="360" w:lineRule="auto"/>
      <w:jc w:val="left"/>
    </w:pPr>
    <w:rPr>
      <w:b/>
      <w:bCs/>
      <w:sz w:val="24"/>
      <w:szCs w:val="20"/>
    </w:rPr>
  </w:style>
  <w:style w:type="paragraph" w:styleId="16">
    <w:name w:val="toc 4"/>
    <w:basedOn w:val="1"/>
    <w:next w:val="1"/>
    <w:qFormat/>
    <w:uiPriority w:val="0"/>
    <w:pPr>
      <w:ind w:left="630"/>
      <w:jc w:val="left"/>
    </w:pPr>
    <w:rPr>
      <w:sz w:val="20"/>
      <w:szCs w:val="20"/>
    </w:rPr>
  </w:style>
  <w:style w:type="paragraph" w:styleId="17">
    <w:name w:val="toc 6"/>
    <w:basedOn w:val="1"/>
    <w:next w:val="1"/>
    <w:qFormat/>
    <w:uiPriority w:val="0"/>
    <w:pPr>
      <w:ind w:left="1050"/>
      <w:jc w:val="left"/>
    </w:pPr>
    <w:rPr>
      <w:sz w:val="20"/>
      <w:szCs w:val="20"/>
    </w:rPr>
  </w:style>
  <w:style w:type="paragraph" w:styleId="18">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9">
    <w:name w:val="toc 9"/>
    <w:basedOn w:val="1"/>
    <w:next w:val="1"/>
    <w:qFormat/>
    <w:uiPriority w:val="0"/>
    <w:pPr>
      <w:ind w:left="1680"/>
      <w:jc w:val="left"/>
    </w:pPr>
    <w:rPr>
      <w:sz w:val="20"/>
      <w:szCs w:val="20"/>
    </w:rPr>
  </w:style>
  <w:style w:type="character" w:styleId="21">
    <w:name w:val="page number"/>
    <w:basedOn w:val="20"/>
    <w:qFormat/>
    <w:uiPriority w:val="0"/>
  </w:style>
  <w:style w:type="character" w:styleId="22">
    <w:name w:val="Hyperlink"/>
    <w:basedOn w:val="20"/>
    <w:qFormat/>
    <w:uiPriority w:val="0"/>
    <w:rPr>
      <w:color w:val="0000FF"/>
      <w:u w:val="single"/>
    </w:rPr>
  </w:style>
  <w:style w:type="character" w:customStyle="1" w:styleId="24">
    <w:name w:val="标题 4 Char"/>
    <w:basedOn w:val="20"/>
    <w:link w:val="7"/>
    <w:qFormat/>
    <w:uiPriority w:val="0"/>
    <w:rPr>
      <w:rFonts w:ascii="Cambria" w:hAnsi="Cambria"/>
      <w:b/>
      <w:bCs/>
      <w:kern w:val="2"/>
      <w:sz w:val="28"/>
      <w:szCs w:val="28"/>
    </w:rPr>
  </w:style>
  <w:style w:type="paragraph" w:styleId="25">
    <w:name w:val="No Spacing"/>
    <w:link w:val="26"/>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6">
    <w:name w:val="无间隔 Char"/>
    <w:link w:val="25"/>
    <w:qFormat/>
    <w:locked/>
    <w:uiPriority w:val="0"/>
    <w:rPr>
      <w:rFonts w:eastAsia="仿宋_GB2312"/>
      <w:sz w:val="30"/>
      <w:szCs w:val="22"/>
      <w:lang w:bidi="ar-SA"/>
    </w:rPr>
  </w:style>
  <w:style w:type="character" w:customStyle="1" w:styleId="27">
    <w:name w:val="页脚 Char"/>
    <w:basedOn w:val="20"/>
    <w:link w:val="13"/>
    <w:qFormat/>
    <w:uiPriority w:val="0"/>
    <w:rPr>
      <w:kern w:val="2"/>
      <w:sz w:val="18"/>
      <w:szCs w:val="18"/>
    </w:rPr>
  </w:style>
  <w:style w:type="paragraph" w:styleId="28">
    <w:name w:val="List Paragraph"/>
    <w:basedOn w:val="1"/>
    <w:qFormat/>
    <w:uiPriority w:val="0"/>
    <w:pPr>
      <w:ind w:firstLine="420" w:firstLineChars="200"/>
    </w:pPr>
  </w:style>
  <w:style w:type="character" w:customStyle="1" w:styleId="29">
    <w:name w:val="标题 3 Char"/>
    <w:basedOn w:val="20"/>
    <w:link w:val="6"/>
    <w:qFormat/>
    <w:uiPriority w:val="0"/>
    <w:rPr>
      <w:b/>
      <w:bCs/>
      <w:kern w:val="2"/>
      <w:sz w:val="32"/>
      <w:szCs w:val="32"/>
    </w:rPr>
  </w:style>
  <w:style w:type="paragraph" w:customStyle="1" w:styleId="30">
    <w:name w:val="MsoNormal"/>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FD8714-0FA9-4C6D-A463-F07367D20AE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7</Words>
  <Characters>40</Characters>
  <Lines>1</Lines>
  <Paragraphs>1</Paragraphs>
  <TotalTime>88</TotalTime>
  <ScaleCrop>false</ScaleCrop>
  <LinksUpToDate>false</LinksUpToDate>
  <CharactersWithSpaces>46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Administrator</cp:lastModifiedBy>
  <cp:lastPrinted>2025-09-04T01:11:00Z</cp:lastPrinted>
  <dcterms:modified xsi:type="dcterms:W3CDTF">2025-09-04T02:15:28Z</dcterms:modified>
  <dc:title>××年度××部门/单位</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2052-11.8.2.8053</vt:lpwstr>
  </property>
  <property fmtid="{D5CDD505-2E9C-101B-9397-08002B2CF9AE}" pid="4" name="KSOTemplateDocerSaveRecord">
    <vt:lpwstr>eyJoZGlkIjoiN2YzNjBkOTgyNWQ1YTMxYzM3MzMwNWFiODNmOWIzYWMiLCJ1c2VySWQiOiI4MDUyMTE2MjkifQ==</vt:lpwstr>
  </property>
</Properties>
</file>