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hint="eastAsia" w:ascii="Arial" w:eastAsia="宋体"/>
          <w:sz w:val="21"/>
          <w:lang w:val="en-US" w:eastAsia="zh-CN"/>
        </w:rPr>
      </w:pPr>
      <w:r>
        <w:rPr>
          <w:rFonts w:hint="eastAsia" w:eastAsia="宋体"/>
          <w:sz w:val="21"/>
          <w:lang w:val="en-US" w:eastAsia="zh-CN"/>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85" w:line="210" w:lineRule="auto"/>
        <w:ind w:left="859"/>
        <w:jc w:val="center"/>
        <w:rPr>
          <w:rFonts w:ascii="微软雅黑" w:hAnsi="微软雅黑" w:eastAsia="微软雅黑" w:cs="微软雅黑"/>
          <w:sz w:val="43"/>
          <w:szCs w:val="43"/>
        </w:rPr>
      </w:pPr>
      <w:r>
        <w:rPr>
          <w:rFonts w:hint="eastAsia" w:ascii="微软雅黑" w:hAnsi="微软雅黑" w:eastAsia="微软雅黑" w:cs="微软雅黑"/>
          <w:sz w:val="43"/>
          <w:szCs w:val="43"/>
          <w:lang w:val="en-US" w:eastAsia="zh-CN"/>
        </w:rPr>
        <w:t>2025</w:t>
      </w:r>
      <w:r>
        <w:rPr>
          <w:rFonts w:ascii="微软雅黑" w:hAnsi="微软雅黑" w:eastAsia="微软雅黑" w:cs="微软雅黑"/>
          <w:spacing w:val="31"/>
          <w:sz w:val="43"/>
          <w:szCs w:val="43"/>
        </w:rPr>
        <w:t>年度</w:t>
      </w:r>
      <w:r>
        <w:rPr>
          <w:rFonts w:hint="eastAsia" w:ascii="微软雅黑" w:hAnsi="微软雅黑" w:eastAsia="微软雅黑" w:cs="微软雅黑"/>
          <w:sz w:val="43"/>
          <w:szCs w:val="43"/>
          <w:u w:val="none" w:color="auto"/>
          <w:lang w:eastAsia="zh-CN"/>
        </w:rPr>
        <w:t>中共磴口县委员会机构编制委员会办公室</w:t>
      </w:r>
      <w:r>
        <w:rPr>
          <w:rFonts w:ascii="微软雅黑" w:hAnsi="微软雅黑" w:eastAsia="微软雅黑" w:cs="微软雅黑"/>
          <w:spacing w:val="31"/>
          <w:sz w:val="43"/>
          <w:szCs w:val="43"/>
        </w:rPr>
        <w:t>预算公开</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7" w:lineRule="auto"/>
        <w:ind w:firstLine="2016" w:firstLineChars="600"/>
        <w:rPr>
          <w:rFonts w:ascii="黑体" w:hAnsi="黑体" w:eastAsia="黑体" w:cs="黑体"/>
          <w:sz w:val="31"/>
          <w:szCs w:val="31"/>
          <w:u w:val="none" w:color="auto"/>
        </w:rPr>
      </w:pPr>
      <w:r>
        <w:rPr>
          <w:rFonts w:ascii="黑体" w:hAnsi="黑体" w:eastAsia="黑体" w:cs="黑体"/>
          <w:spacing w:val="13"/>
          <w:sz w:val="31"/>
          <w:szCs w:val="31"/>
          <w:u w:val="none" w:color="auto"/>
        </w:rPr>
        <w:t>批</w:t>
      </w:r>
      <w:r>
        <w:rPr>
          <w:rFonts w:ascii="黑体" w:hAnsi="黑体" w:eastAsia="黑体" w:cs="黑体"/>
          <w:spacing w:val="8"/>
          <w:sz w:val="31"/>
          <w:szCs w:val="31"/>
          <w:u w:val="none" w:color="auto"/>
        </w:rPr>
        <w:t>复时间：</w:t>
      </w:r>
      <w:r>
        <w:rPr>
          <w:rFonts w:hint="eastAsia" w:ascii="黑体" w:hAnsi="黑体" w:eastAsia="黑体" w:cs="黑体"/>
          <w:spacing w:val="8"/>
          <w:sz w:val="31"/>
          <w:szCs w:val="31"/>
          <w:u w:val="none" w:color="auto"/>
          <w:lang w:val="en-US" w:eastAsia="zh-CN"/>
        </w:rPr>
        <w:t>2025</w:t>
      </w:r>
      <w:r>
        <w:rPr>
          <w:rFonts w:ascii="黑体" w:hAnsi="黑体" w:eastAsia="黑体" w:cs="黑体"/>
          <w:spacing w:val="8"/>
          <w:sz w:val="31"/>
          <w:szCs w:val="31"/>
          <w:u w:val="none" w:color="auto"/>
        </w:rPr>
        <w:t>年</w:t>
      </w:r>
      <w:r>
        <w:rPr>
          <w:rFonts w:hint="eastAsia" w:ascii="黑体" w:hAnsi="黑体" w:eastAsia="黑体" w:cs="黑体"/>
          <w:spacing w:val="8"/>
          <w:sz w:val="31"/>
          <w:szCs w:val="31"/>
          <w:u w:val="none" w:color="auto"/>
          <w:lang w:val="en-US" w:eastAsia="zh-CN"/>
        </w:rPr>
        <w:t>2</w:t>
      </w:r>
      <w:r>
        <w:rPr>
          <w:rFonts w:ascii="黑体" w:hAnsi="黑体" w:eastAsia="黑体" w:cs="黑体"/>
          <w:spacing w:val="8"/>
          <w:sz w:val="31"/>
          <w:szCs w:val="31"/>
          <w:u w:val="none" w:color="auto"/>
        </w:rPr>
        <w:t>月</w:t>
      </w:r>
      <w:r>
        <w:rPr>
          <w:rFonts w:hint="eastAsia" w:ascii="黑体" w:hAnsi="黑体" w:eastAsia="黑体" w:cs="黑体"/>
          <w:spacing w:val="8"/>
          <w:sz w:val="31"/>
          <w:szCs w:val="31"/>
          <w:u w:val="none" w:color="auto"/>
          <w:lang w:val="en-US" w:eastAsia="zh-CN"/>
        </w:rPr>
        <w:t>13</w:t>
      </w:r>
      <w:r>
        <w:rPr>
          <w:rFonts w:ascii="黑体" w:hAnsi="黑体" w:eastAsia="黑体" w:cs="黑体"/>
          <w:spacing w:val="8"/>
          <w:sz w:val="31"/>
          <w:szCs w:val="31"/>
          <w:u w:val="none" w:color="auto"/>
        </w:rPr>
        <w:t>日</w:t>
      </w:r>
    </w:p>
    <w:p>
      <w:pPr>
        <w:spacing w:before="218" w:line="358" w:lineRule="auto"/>
        <w:ind w:left="1666" w:firstLine="332" w:firstLineChars="100"/>
        <w:rPr>
          <w:rFonts w:ascii="黑体" w:hAnsi="黑体" w:eastAsia="黑体" w:cs="黑体"/>
          <w:sz w:val="31"/>
          <w:szCs w:val="31"/>
          <w:u w:val="none" w:color="auto"/>
        </w:rPr>
      </w:pPr>
      <w:r>
        <w:rPr>
          <w:rFonts w:ascii="黑体" w:hAnsi="黑体" w:eastAsia="黑体" w:cs="黑体"/>
          <w:spacing w:val="11"/>
          <w:sz w:val="31"/>
          <w:szCs w:val="31"/>
          <w:u w:val="none" w:color="auto"/>
        </w:rPr>
        <w:t>公</w:t>
      </w:r>
      <w:r>
        <w:rPr>
          <w:rFonts w:ascii="黑体" w:hAnsi="黑体" w:eastAsia="黑体" w:cs="黑体"/>
          <w:spacing w:val="8"/>
          <w:sz w:val="31"/>
          <w:szCs w:val="31"/>
          <w:u w:val="none" w:color="auto"/>
        </w:rPr>
        <w:t>开时间：</w:t>
      </w:r>
      <w:r>
        <w:rPr>
          <w:rFonts w:hint="eastAsia" w:ascii="黑体" w:hAnsi="黑体" w:eastAsia="黑体" w:cs="黑体"/>
          <w:spacing w:val="8"/>
          <w:sz w:val="31"/>
          <w:szCs w:val="31"/>
          <w:u w:val="none" w:color="auto"/>
          <w:lang w:val="en-US" w:eastAsia="zh-CN"/>
        </w:rPr>
        <w:t>2024</w:t>
      </w:r>
      <w:r>
        <w:rPr>
          <w:rFonts w:ascii="黑体" w:hAnsi="黑体" w:eastAsia="黑体" w:cs="黑体"/>
          <w:spacing w:val="8"/>
          <w:sz w:val="31"/>
          <w:szCs w:val="31"/>
          <w:u w:val="none" w:color="auto"/>
        </w:rPr>
        <w:t>年</w:t>
      </w:r>
      <w:r>
        <w:rPr>
          <w:rFonts w:hint="eastAsia" w:ascii="黑体" w:hAnsi="黑体" w:eastAsia="黑体" w:cs="黑体"/>
          <w:spacing w:val="8"/>
          <w:sz w:val="31"/>
          <w:szCs w:val="31"/>
          <w:u w:val="none" w:color="auto"/>
          <w:lang w:val="en-US" w:eastAsia="zh-CN"/>
        </w:rPr>
        <w:t>2</w:t>
      </w:r>
      <w:r>
        <w:rPr>
          <w:rFonts w:ascii="黑体" w:hAnsi="黑体" w:eastAsia="黑体" w:cs="黑体"/>
          <w:spacing w:val="8"/>
          <w:sz w:val="31"/>
          <w:szCs w:val="31"/>
          <w:u w:val="none" w:color="auto"/>
        </w:rPr>
        <w:t>月</w:t>
      </w:r>
      <w:r>
        <w:rPr>
          <w:rFonts w:hint="eastAsia" w:ascii="黑体" w:hAnsi="黑体" w:eastAsia="黑体" w:cs="黑体"/>
          <w:spacing w:val="8"/>
          <w:sz w:val="31"/>
          <w:szCs w:val="31"/>
          <w:u w:val="none" w:color="auto"/>
          <w:lang w:val="en-US" w:eastAsia="zh-CN"/>
        </w:rPr>
        <w:t>28</w:t>
      </w:r>
      <w:bookmarkStart w:id="3" w:name="_GoBack"/>
      <w:bookmarkEnd w:id="3"/>
      <w:r>
        <w:rPr>
          <w:rFonts w:ascii="黑体" w:hAnsi="黑体" w:eastAsia="黑体" w:cs="黑体"/>
          <w:spacing w:val="8"/>
          <w:sz w:val="31"/>
          <w:szCs w:val="31"/>
          <w:u w:val="none" w:color="auto"/>
        </w:rPr>
        <w:t>日</w:t>
      </w: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8"/>
          <w:sz w:val="44"/>
          <w:szCs w:val="44"/>
        </w:rPr>
      </w:pPr>
      <w:r>
        <w:rPr>
          <w:rFonts w:ascii="宋体" w:hAnsi="宋体" w:eastAsia="宋体" w:cs="宋体"/>
          <w:spacing w:val="-13"/>
          <w:sz w:val="44"/>
          <w:szCs w:val="44"/>
        </w:rPr>
        <w:t>目</w:t>
      </w:r>
      <w:r>
        <w:rPr>
          <w:rFonts w:ascii="宋体" w:hAnsi="宋体" w:eastAsia="宋体" w:cs="宋体"/>
          <w:spacing w:val="-8"/>
          <w:sz w:val="44"/>
          <w:szCs w:val="44"/>
        </w:rPr>
        <w:t xml:space="preserve">    录</w:t>
      </w:r>
    </w:p>
    <w:p>
      <w:pPr>
        <w:pStyle w:val="3"/>
      </w:pPr>
    </w:p>
    <w:p>
      <w:pPr>
        <w:spacing w:line="318" w:lineRule="auto"/>
        <w:rPr>
          <w:rFonts w:ascii="Arial"/>
          <w:sz w:val="21"/>
        </w:rPr>
      </w:pPr>
    </w:p>
    <w:p>
      <w:pPr>
        <w:pStyle w:val="3"/>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2"/>
          <w:szCs w:val="32"/>
        </w:rPr>
      </w:pPr>
      <w:r>
        <w:rPr>
          <w:rFonts w:ascii="黑体" w:hAnsi="黑体" w:eastAsia="黑体" w:cs="黑体"/>
          <w:spacing w:val="12"/>
          <w:sz w:val="32"/>
          <w:szCs w:val="32"/>
        </w:rPr>
        <w:t>第</w:t>
      </w:r>
      <w:r>
        <w:rPr>
          <w:rFonts w:ascii="黑体" w:hAnsi="黑体" w:eastAsia="黑体" w:cs="黑体"/>
          <w:spacing w:val="7"/>
          <w:sz w:val="32"/>
          <w:szCs w:val="32"/>
        </w:rPr>
        <w:t>一部分 部门概况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position w:val="3"/>
          <w:sz w:val="32"/>
          <w:szCs w:val="32"/>
        </w:rPr>
        <w:t>一、主要职能、职责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二、部门机构设置及预算单位构成情</w:t>
      </w:r>
      <w:r>
        <w:rPr>
          <w:rFonts w:hint="eastAsia" w:ascii="仿宋_GB2312" w:hAnsi="仿宋_GB2312" w:eastAsia="仿宋_GB2312" w:cs="仿宋_GB2312"/>
          <w:spacing w:val="3"/>
          <w:sz w:val="32"/>
          <w:szCs w:val="32"/>
        </w:rPr>
        <w:t>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004" w:firstLine="2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pacing w:val="4"/>
          <w:sz w:val="32"/>
          <w:szCs w:val="32"/>
        </w:rPr>
        <w:t>年度部门主要工作任务及目标</w:t>
      </w:r>
      <w:r>
        <w:rPr>
          <w:rFonts w:hint="eastAsia" w:ascii="仿宋_GB2312" w:hAnsi="仿宋_GB2312" w:eastAsia="仿宋_GB2312" w:cs="仿宋_GB231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004" w:firstLine="23"/>
        <w:textAlignment w:val="baseline"/>
        <w:rPr>
          <w:rFonts w:ascii="黑体" w:hAnsi="黑体" w:eastAsia="黑体" w:cs="黑体"/>
          <w:sz w:val="32"/>
          <w:szCs w:val="32"/>
        </w:rPr>
      </w:pPr>
      <w:r>
        <w:rPr>
          <w:rFonts w:ascii="黑体" w:hAnsi="黑体" w:eastAsia="黑体" w:cs="黑体"/>
          <w:spacing w:val="5"/>
          <w:sz w:val="32"/>
          <w:szCs w:val="32"/>
        </w:rPr>
        <w:t xml:space="preserve">第二部分 </w:t>
      </w:r>
      <w:r>
        <w:rPr>
          <w:rFonts w:hint="eastAsia" w:ascii="黑体" w:hAnsi="黑体" w:eastAsia="黑体" w:cs="黑体"/>
          <w:sz w:val="32"/>
          <w:szCs w:val="32"/>
          <w:lang w:val="en-US" w:eastAsia="zh-CN"/>
        </w:rPr>
        <w:t>2025</w:t>
      </w:r>
      <w:r>
        <w:rPr>
          <w:rFonts w:ascii="黑体" w:hAnsi="黑体" w:eastAsia="黑体" w:cs="黑体"/>
          <w:spacing w:val="5"/>
          <w:sz w:val="32"/>
          <w:szCs w:val="32"/>
        </w:rPr>
        <w:t>年度部门预算情况说</w:t>
      </w:r>
      <w:r>
        <w:rPr>
          <w:rFonts w:ascii="黑体" w:hAnsi="黑体" w:eastAsia="黑体" w:cs="黑体"/>
          <w:spacing w:val="1"/>
          <w:sz w:val="32"/>
          <w:szCs w:val="32"/>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一、收支预算总体情况说明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四、财政拨款收支预算总体情况说明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 “三公”经费支出预算情况说明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rPr>
      </w:pPr>
      <w:r>
        <w:rPr>
          <w:rFonts w:hint="eastAsia" w:ascii="仿宋_GB2312" w:hAnsi="仿宋_GB2312" w:eastAsia="仿宋_GB2312" w:cs="仿宋_GB2312"/>
          <w:spacing w:val="-10"/>
          <w:position w:val="3"/>
          <w:sz w:val="32"/>
          <w:szCs w:val="32"/>
        </w:rPr>
        <w:t>十、项目支出预算情况说明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项目绩效目标情况说明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第三部分 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第四部分 预算公开联系方式及信息反馈渠道</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第五部分</w:t>
      </w:r>
      <w:r>
        <w:rPr>
          <w:rFonts w:hint="eastAsia" w:ascii="黑体" w:hAnsi="黑体" w:eastAsia="黑体" w:cs="黑体"/>
          <w:spacing w:val="8"/>
          <w:sz w:val="32"/>
          <w:szCs w:val="32"/>
          <w:lang w:val="en-US" w:eastAsia="zh-CN"/>
        </w:rPr>
        <w:t xml:space="preserve"> 2025</w:t>
      </w:r>
      <w:r>
        <w:rPr>
          <w:rFonts w:ascii="黑体" w:hAnsi="黑体" w:eastAsia="黑体" w:cs="黑体"/>
          <w:spacing w:val="8"/>
          <w:sz w:val="32"/>
          <w:szCs w:val="32"/>
        </w:rPr>
        <w:t>年度部门预算表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十、项目支出表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十一、项目绩效目标表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bookmarkStart w:id="0" w:name="_bookmark11"/>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pStyle w:val="3"/>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spacing w:before="300" w:line="212" w:lineRule="auto"/>
        <w:ind w:left="2300"/>
        <w:outlineLvl w:val="1"/>
        <w:rPr>
          <w:rFonts w:ascii="微软雅黑" w:hAnsi="微软雅黑" w:eastAsia="微软雅黑" w:cs="微软雅黑"/>
          <w:spacing w:val="37"/>
          <w:sz w:val="32"/>
          <w:szCs w:val="32"/>
        </w:rPr>
      </w:pPr>
    </w:p>
    <w:p>
      <w:pPr>
        <w:spacing w:before="300" w:line="212" w:lineRule="auto"/>
        <w:ind w:left="2300"/>
        <w:outlineLvl w:val="1"/>
        <w:rPr>
          <w:rFonts w:ascii="微软雅黑" w:hAnsi="微软雅黑" w:eastAsia="微软雅黑" w:cs="微软雅黑"/>
          <w:sz w:val="32"/>
          <w:szCs w:val="32"/>
        </w:rPr>
      </w:pPr>
      <w:r>
        <w:rPr>
          <w:rFonts w:ascii="微软雅黑" w:hAnsi="微软雅黑" w:eastAsia="微软雅黑" w:cs="微软雅黑"/>
          <w:spacing w:val="37"/>
          <w:sz w:val="32"/>
          <w:szCs w:val="32"/>
        </w:rPr>
        <w:t>第</w:t>
      </w:r>
      <w:r>
        <w:rPr>
          <w:rFonts w:ascii="微软雅黑" w:hAnsi="微软雅黑" w:eastAsia="微软雅黑" w:cs="微软雅黑"/>
          <w:spacing w:val="24"/>
          <w:sz w:val="32"/>
          <w:szCs w:val="32"/>
        </w:rPr>
        <w:t>一部分   部门概况</w:t>
      </w:r>
    </w:p>
    <w:p>
      <w:pPr>
        <w:spacing w:line="309" w:lineRule="auto"/>
        <w:rPr>
          <w:rFonts w:ascii="Arial"/>
          <w:sz w:val="32"/>
          <w:szCs w:val="32"/>
        </w:rPr>
      </w:pPr>
    </w:p>
    <w:p>
      <w:pPr>
        <w:spacing w:line="310" w:lineRule="auto"/>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771"/>
        <w:outlineLvl w:val="2"/>
        <w:rPr>
          <w:rFonts w:ascii="黑体" w:hAnsi="黑体" w:eastAsia="黑体" w:cs="黑体"/>
          <w:sz w:val="32"/>
          <w:szCs w:val="32"/>
        </w:rPr>
      </w:pPr>
      <w:r>
        <w:rPr>
          <w:rFonts w:ascii="黑体" w:hAnsi="黑体" w:eastAsia="黑体" w:cs="黑体"/>
          <w:spacing w:val="11"/>
          <w:position w:val="4"/>
          <w:sz w:val="32"/>
          <w:szCs w:val="32"/>
        </w:rPr>
        <w:t>一</w:t>
      </w:r>
      <w:r>
        <w:rPr>
          <w:rFonts w:ascii="黑体" w:hAnsi="黑体" w:eastAsia="黑体" w:cs="黑体"/>
          <w:spacing w:val="7"/>
          <w:position w:val="4"/>
          <w:sz w:val="32"/>
          <w:szCs w:val="32"/>
        </w:rPr>
        <w:t>、主要职能职责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（一）部门职能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中共磴口县委员会机构编制委员会办公室是中共磴口县</w:t>
      </w:r>
      <w:r>
        <w:rPr>
          <w:rFonts w:hint="eastAsia" w:ascii="仿宋_GB2312" w:hAnsi="仿宋_GB2312" w:eastAsia="仿宋_GB2312" w:cs="仿宋_GB2312"/>
          <w:spacing w:val="-10"/>
          <w:position w:val="3"/>
          <w:sz w:val="32"/>
          <w:szCs w:val="32"/>
          <w:lang w:eastAsia="zh-CN"/>
        </w:rPr>
        <w:t>委员会</w:t>
      </w:r>
      <w:r>
        <w:rPr>
          <w:rFonts w:hint="eastAsia" w:ascii="仿宋_GB2312" w:hAnsi="仿宋_GB2312" w:eastAsia="仿宋_GB2312" w:cs="仿宋_GB2312"/>
          <w:spacing w:val="-10"/>
          <w:position w:val="3"/>
          <w:sz w:val="32"/>
          <w:szCs w:val="32"/>
        </w:rPr>
        <w:t>机构编制委员会（以下简称县委编委）的办事机构，承担县委编委日常工作，为正科级，加挂磴口县事业单位登记管理局牌子，列县委工作机关序列，归口县委组织部管理。具体负责全县行政管理体制和机构改革以及机构编制的日常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（二）部门主要职责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lang w:val="en-US" w:eastAsia="zh-CN"/>
        </w:rPr>
        <w:t>1、</w:t>
      </w:r>
      <w:r>
        <w:rPr>
          <w:rFonts w:hint="eastAsia" w:ascii="仿宋_GB2312" w:hAnsi="仿宋_GB2312" w:eastAsia="仿宋_GB2312" w:cs="仿宋_GB2312"/>
          <w:spacing w:val="-10"/>
          <w:position w:val="3"/>
          <w:sz w:val="32"/>
          <w:szCs w:val="32"/>
        </w:rPr>
        <w:t>贯彻落实党中央关于党和国家机构改革及机构编制管理的方针政策和国家有关法律法规，落实自治区党委、党委编办、市委、市委编委、市委编办以及县委、县委编委决策部署。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2、</w:t>
      </w:r>
      <w:r>
        <w:rPr>
          <w:rFonts w:hint="eastAsia" w:ascii="仿宋_GB2312" w:hAnsi="仿宋_GB2312" w:eastAsia="仿宋_GB2312" w:cs="仿宋_GB2312"/>
          <w:spacing w:val="-10"/>
          <w:position w:val="3"/>
          <w:sz w:val="32"/>
          <w:szCs w:val="32"/>
        </w:rPr>
        <w:t>统筹管理机构编制工作。拟订磴口县机构编制管理</w:t>
      </w:r>
      <w:r>
        <w:rPr>
          <w:rFonts w:hint="eastAsia" w:ascii="仿宋_GB2312" w:hAnsi="仿宋_GB2312" w:eastAsia="仿宋_GB2312" w:cs="仿宋_GB2312"/>
          <w:spacing w:val="-10"/>
          <w:position w:val="3"/>
          <w:sz w:val="32"/>
          <w:szCs w:val="32"/>
          <w:lang w:eastAsia="zh-CN"/>
        </w:rPr>
        <w:t>规章制度</w:t>
      </w:r>
      <w:r>
        <w:rPr>
          <w:rFonts w:hint="eastAsia" w:ascii="仿宋_GB2312" w:hAnsi="仿宋_GB2312" w:eastAsia="仿宋_GB2312" w:cs="仿宋_GB2312"/>
          <w:spacing w:val="-10"/>
          <w:position w:val="3"/>
          <w:sz w:val="32"/>
          <w:szCs w:val="32"/>
        </w:rPr>
        <w:t xml:space="preserve">，并组织实施。协调推进机构编制法制化建设。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3、</w:t>
      </w:r>
      <w:r>
        <w:rPr>
          <w:rFonts w:hint="eastAsia" w:ascii="仿宋_GB2312" w:hAnsi="仿宋_GB2312" w:eastAsia="仿宋_GB2312" w:cs="仿宋_GB2312"/>
          <w:spacing w:val="-10"/>
          <w:position w:val="3"/>
          <w:sz w:val="32"/>
          <w:szCs w:val="32"/>
        </w:rPr>
        <w:t>统筹推进磴口县机构改革工作，研究拟订磴口县机构改革方案。审核磴口县党政群机关职能配置、内设机构、人员编制规定（简称“三定”规定）。 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相对集中行政许可权改革。配合推进行业管理体制改革。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4、</w:t>
      </w:r>
      <w:r>
        <w:rPr>
          <w:rFonts w:hint="eastAsia" w:ascii="仿宋_GB2312" w:hAnsi="仿宋_GB2312" w:eastAsia="仿宋_GB2312" w:cs="仿宋_GB2312"/>
          <w:spacing w:val="-10"/>
          <w:position w:val="3"/>
          <w:sz w:val="32"/>
          <w:szCs w:val="32"/>
        </w:rPr>
        <w:t xml:space="preserve">统筹磴口县党政群机关职能职责调整，协调县直部门之间职责分工和县、苏木镇两级政府之间事权划分。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5、</w:t>
      </w:r>
      <w:r>
        <w:rPr>
          <w:rFonts w:hint="eastAsia" w:ascii="仿宋_GB2312" w:hAnsi="仿宋_GB2312" w:eastAsia="仿宋_GB2312" w:cs="仿宋_GB2312"/>
          <w:spacing w:val="-10"/>
          <w:position w:val="3"/>
          <w:sz w:val="32"/>
          <w:szCs w:val="32"/>
        </w:rPr>
        <w:t>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 xml:space="preserve">县直机关及事业单位日常机构编制管理事宜。按照权限，管理全县行政事业单位股级机构设置等事宜。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6、</w:t>
      </w:r>
      <w:r>
        <w:rPr>
          <w:rFonts w:hint="eastAsia" w:ascii="仿宋_GB2312" w:hAnsi="仿宋_GB2312" w:eastAsia="仿宋_GB2312" w:cs="仿宋_GB2312"/>
          <w:spacing w:val="-10"/>
          <w:position w:val="3"/>
          <w:sz w:val="32"/>
          <w:szCs w:val="32"/>
        </w:rPr>
        <w:t xml:space="preserve">负责管理全县行政事业单位编制总额和机构限额。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7、</w:t>
      </w:r>
      <w:r>
        <w:rPr>
          <w:rFonts w:hint="eastAsia" w:ascii="仿宋_GB2312" w:hAnsi="仿宋_GB2312" w:eastAsia="仿宋_GB2312" w:cs="仿宋_GB2312"/>
          <w:spacing w:val="-10"/>
          <w:position w:val="3"/>
          <w:sz w:val="32"/>
          <w:szCs w:val="32"/>
        </w:rPr>
        <w:t xml:space="preserve">统筹推进全县事业单位改革。研究拟订事业单位机构改革意见。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8、</w:t>
      </w:r>
      <w:r>
        <w:rPr>
          <w:rFonts w:hint="eastAsia" w:ascii="仿宋_GB2312" w:hAnsi="仿宋_GB2312" w:eastAsia="仿宋_GB2312" w:cs="仿宋_GB2312"/>
          <w:spacing w:val="-10"/>
          <w:position w:val="3"/>
          <w:sz w:val="32"/>
          <w:szCs w:val="32"/>
        </w:rPr>
        <w:t xml:space="preserve">按照权限，审核审批全县事业单位机构规格、内设机构、人员编制、人员结构、机构类别等事宜。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9、</w:t>
      </w:r>
      <w:r>
        <w:rPr>
          <w:rFonts w:hint="eastAsia" w:ascii="仿宋_GB2312" w:hAnsi="仿宋_GB2312" w:eastAsia="仿宋_GB2312" w:cs="仿宋_GB2312"/>
          <w:spacing w:val="-10"/>
          <w:position w:val="3"/>
          <w:sz w:val="32"/>
          <w:szCs w:val="32"/>
        </w:rPr>
        <w:t>监督检查机构编制工作的方针政策、法律法规和重要决策部署执行情况，查处机构编制违纪违法行为。负责机构编制调查研究工作。负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 xml:space="preserve">全县机构编制统计、实名制和网上名称管理工。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10、</w:t>
      </w:r>
      <w:r>
        <w:rPr>
          <w:rFonts w:hint="eastAsia" w:ascii="仿宋_GB2312" w:hAnsi="仿宋_GB2312" w:eastAsia="仿宋_GB2312" w:cs="仿宋_GB2312"/>
          <w:spacing w:val="-10"/>
          <w:position w:val="3"/>
          <w:sz w:val="32"/>
          <w:szCs w:val="32"/>
        </w:rPr>
        <w:t>统筹指导全县事业单位登记管理工作和机构编制信息化建设工作。负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 xml:space="preserve">县本级党政群机关统一社会信用代码赋码发证工作和事业单位登记管理工作。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default" w:ascii="仿宋_GB2312" w:hAnsi="仿宋_GB2312" w:eastAsia="仿宋_GB2312" w:cs="仿宋_GB2312"/>
          <w:spacing w:val="-10"/>
          <w:position w:val="3"/>
          <w:sz w:val="32"/>
          <w:szCs w:val="32"/>
          <w:lang w:val="en-US" w:eastAsia="zh-CN"/>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11、</w:t>
      </w:r>
      <w:r>
        <w:rPr>
          <w:rFonts w:hint="eastAsia" w:ascii="仿宋_GB2312" w:hAnsi="仿宋_GB2312" w:eastAsia="仿宋_GB2312" w:cs="仿宋_GB2312"/>
          <w:spacing w:val="-10"/>
          <w:position w:val="3"/>
          <w:sz w:val="32"/>
          <w:szCs w:val="32"/>
        </w:rPr>
        <w:t>完成县委和县委</w:t>
      </w:r>
      <w:r>
        <w:rPr>
          <w:rFonts w:hint="eastAsia" w:ascii="仿宋_GB2312" w:hAnsi="仿宋_GB2312" w:eastAsia="仿宋_GB2312" w:cs="仿宋_GB2312"/>
          <w:spacing w:val="-10"/>
          <w:position w:val="3"/>
          <w:sz w:val="32"/>
          <w:szCs w:val="32"/>
          <w:lang w:eastAsia="zh-CN"/>
        </w:rPr>
        <w:t>编委</w:t>
      </w:r>
      <w:r>
        <w:rPr>
          <w:rFonts w:hint="eastAsia" w:ascii="仿宋_GB2312" w:hAnsi="仿宋_GB2312" w:eastAsia="仿宋_GB2312" w:cs="仿宋_GB2312"/>
          <w:spacing w:val="-10"/>
          <w:position w:val="3"/>
          <w:sz w:val="32"/>
          <w:szCs w:val="32"/>
        </w:rPr>
        <w:t>交办的其他任务。</w:t>
      </w:r>
    </w:p>
    <w:p>
      <w:pPr>
        <w:keepNext w:val="0"/>
        <w:keepLines w:val="0"/>
        <w:pageBreakBefore w:val="0"/>
        <w:widowControl/>
        <w:wordWrap/>
        <w:overflowPunct/>
        <w:topLinePunct w:val="0"/>
        <w:bidi w:val="0"/>
        <w:adjustRightInd w:val="0"/>
        <w:snapToGrid w:val="0"/>
        <w:spacing w:line="560" w:lineRule="exact"/>
        <w:ind w:left="771"/>
        <w:outlineLvl w:val="2"/>
        <w:rPr>
          <w:rFonts w:ascii="黑体" w:hAnsi="黑体" w:eastAsia="黑体" w:cs="黑体"/>
          <w:sz w:val="32"/>
          <w:szCs w:val="32"/>
        </w:rPr>
      </w:pPr>
      <w:r>
        <w:rPr>
          <w:rFonts w:ascii="黑体" w:hAnsi="黑体" w:eastAsia="黑体" w:cs="黑体"/>
          <w:spacing w:val="13"/>
          <w:sz w:val="32"/>
          <w:szCs w:val="32"/>
        </w:rPr>
        <w:t>二</w:t>
      </w:r>
      <w:r>
        <w:rPr>
          <w:rFonts w:ascii="黑体" w:hAnsi="黑体" w:eastAsia="黑体" w:cs="黑体"/>
          <w:spacing w:val="8"/>
          <w:sz w:val="32"/>
          <w:szCs w:val="32"/>
        </w:rPr>
        <w:t>、部门机构设置及预算单位构成情况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1</w:t>
      </w:r>
      <w:r>
        <w:rPr>
          <w:rFonts w:hint="eastAsia" w:ascii="仿宋_GB2312" w:hAnsi="仿宋_GB2312" w:eastAsia="仿宋_GB2312" w:cs="仿宋_GB2312"/>
          <w:spacing w:val="-10"/>
          <w:position w:val="3"/>
          <w:sz w:val="32"/>
          <w:szCs w:val="32"/>
          <w:lang w:eastAsia="zh-CN"/>
        </w:rPr>
        <w:t>、</w:t>
      </w:r>
      <w:r>
        <w:rPr>
          <w:rFonts w:hint="eastAsia" w:ascii="仿宋_GB2312" w:hAnsi="仿宋_GB2312" w:eastAsia="仿宋_GB2312" w:cs="仿宋_GB2312"/>
          <w:spacing w:val="-10"/>
          <w:position w:val="3"/>
          <w:sz w:val="32"/>
          <w:szCs w:val="32"/>
        </w:rPr>
        <w:t>根据部门职责分工，</w:t>
      </w:r>
      <w:r>
        <w:rPr>
          <w:rFonts w:hint="eastAsia" w:ascii="仿宋_GB2312" w:hAnsi="仿宋_GB2312" w:eastAsia="仿宋_GB2312" w:cs="仿宋_GB2312"/>
          <w:spacing w:val="-10"/>
          <w:position w:val="3"/>
          <w:sz w:val="32"/>
          <w:szCs w:val="32"/>
          <w:lang w:val="en-US" w:eastAsia="zh-CN"/>
        </w:rPr>
        <w:t>中共磴口县委员会机构编制委员会办公室</w:t>
      </w:r>
      <w:r>
        <w:rPr>
          <w:rFonts w:hint="eastAsia" w:ascii="仿宋_GB2312" w:hAnsi="仿宋_GB2312" w:eastAsia="仿宋_GB2312" w:cs="仿宋_GB2312"/>
          <w:spacing w:val="-10"/>
          <w:position w:val="3"/>
          <w:sz w:val="32"/>
          <w:szCs w:val="32"/>
        </w:rPr>
        <w:t>内设机构包括</w:t>
      </w:r>
      <w:r>
        <w:rPr>
          <w:rFonts w:hint="eastAsia" w:ascii="仿宋_GB2312" w:hAnsi="仿宋_GB2312" w:eastAsia="仿宋_GB2312" w:cs="仿宋_GB2312"/>
          <w:spacing w:val="-10"/>
          <w:position w:val="3"/>
          <w:sz w:val="32"/>
          <w:szCs w:val="32"/>
          <w:lang w:val="en-US" w:eastAsia="zh-CN"/>
        </w:rPr>
        <w:t>综合股、业务股</w:t>
      </w:r>
      <w:r>
        <w:rPr>
          <w:rFonts w:hint="eastAsia" w:ascii="仿宋_GB2312" w:hAnsi="仿宋_GB2312" w:eastAsia="仿宋_GB2312" w:cs="仿宋_GB2312"/>
          <w:spacing w:val="-10"/>
          <w:position w:val="3"/>
          <w:sz w:val="32"/>
          <w:szCs w:val="32"/>
        </w:rPr>
        <w:t>。</w:t>
      </w:r>
      <w:r>
        <w:rPr>
          <w:rFonts w:hint="eastAsia" w:ascii="仿宋_GB2312" w:hAnsi="仿宋_GB2312" w:eastAsia="仿宋_GB2312" w:cs="仿宋_GB2312"/>
          <w:spacing w:val="-10"/>
          <w:position w:val="3"/>
          <w:sz w:val="32"/>
          <w:szCs w:val="32"/>
          <w:lang w:val="en-US" w:eastAsia="zh-CN"/>
        </w:rPr>
        <w:t>中共磴口县委员会机构编制委员会办公室</w:t>
      </w:r>
      <w:r>
        <w:rPr>
          <w:rFonts w:hint="eastAsia" w:ascii="仿宋_GB2312" w:hAnsi="仿宋_GB2312" w:eastAsia="仿宋_GB2312" w:cs="仿宋_GB2312"/>
          <w:spacing w:val="-10"/>
          <w:position w:val="3"/>
          <w:sz w:val="32"/>
          <w:szCs w:val="32"/>
          <w:lang w:eastAsia="zh-CN"/>
        </w:rPr>
        <w:t>所</w:t>
      </w:r>
      <w:r>
        <w:rPr>
          <w:rFonts w:hint="eastAsia" w:ascii="仿宋_GB2312" w:hAnsi="仿宋_GB2312" w:eastAsia="仿宋_GB2312" w:cs="仿宋_GB2312"/>
          <w:spacing w:val="-10"/>
          <w:position w:val="3"/>
          <w:sz w:val="32"/>
          <w:szCs w:val="32"/>
        </w:rPr>
        <w:t>属</w:t>
      </w:r>
      <w:r>
        <w:rPr>
          <w:rFonts w:hint="eastAsia" w:ascii="仿宋_GB2312" w:hAnsi="仿宋_GB2312" w:eastAsia="仿宋_GB2312" w:cs="仿宋_GB2312"/>
          <w:spacing w:val="-10"/>
          <w:position w:val="3"/>
          <w:sz w:val="32"/>
          <w:szCs w:val="32"/>
          <w:lang w:eastAsia="zh-CN"/>
        </w:rPr>
        <w:t>事业单位</w:t>
      </w:r>
      <w:r>
        <w:rPr>
          <w:rFonts w:hint="eastAsia" w:ascii="仿宋_GB2312" w:hAnsi="仿宋_GB2312" w:eastAsia="仿宋_GB2312" w:cs="仿宋_GB2312"/>
          <w:spacing w:val="-10"/>
          <w:position w:val="3"/>
          <w:sz w:val="32"/>
          <w:szCs w:val="32"/>
        </w:rPr>
        <w:t>包括：</w:t>
      </w:r>
      <w:r>
        <w:rPr>
          <w:rFonts w:hint="eastAsia" w:ascii="仿宋_GB2312" w:hAnsi="仿宋_GB2312" w:eastAsia="仿宋_GB2312" w:cs="仿宋_GB2312"/>
          <w:spacing w:val="-10"/>
          <w:position w:val="3"/>
          <w:sz w:val="32"/>
          <w:szCs w:val="32"/>
          <w:lang w:eastAsia="zh-CN"/>
        </w:rPr>
        <w:t>磴口县事业单位登记服务中心。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lang w:val="en-US" w:eastAsia="zh-CN"/>
        </w:rPr>
      </w:pPr>
      <w:r>
        <w:rPr>
          <w:rFonts w:hint="eastAsia" w:ascii="仿宋_GB2312" w:hAnsi="仿宋_GB2312" w:eastAsia="仿宋_GB2312" w:cs="仿宋_GB2312"/>
          <w:spacing w:val="-10"/>
          <w:position w:val="3"/>
          <w:sz w:val="32"/>
          <w:szCs w:val="32"/>
        </w:rPr>
        <w:t>2</w:t>
      </w:r>
      <w:r>
        <w:rPr>
          <w:rFonts w:hint="eastAsia" w:ascii="仿宋_GB2312" w:hAnsi="仿宋_GB2312" w:eastAsia="仿宋_GB2312" w:cs="仿宋_GB2312"/>
          <w:spacing w:val="-10"/>
          <w:position w:val="3"/>
          <w:sz w:val="32"/>
          <w:szCs w:val="32"/>
          <w:lang w:eastAsia="zh-CN"/>
        </w:rPr>
        <w:t>、</w:t>
      </w:r>
      <w:r>
        <w:rPr>
          <w:rFonts w:hint="eastAsia" w:ascii="仿宋_GB2312" w:hAnsi="仿宋_GB2312" w:eastAsia="仿宋_GB2312" w:cs="仿宋_GB2312"/>
          <w:spacing w:val="-10"/>
          <w:position w:val="3"/>
          <w:sz w:val="32"/>
          <w:szCs w:val="32"/>
          <w:lang w:val="en-US" w:eastAsia="zh-CN"/>
        </w:rPr>
        <w:t>从预算单位构成看，纳入本部门2025年部门汇总预算编制范围的预算单位共计1家，具体包括：中共磴口县委员会机构编制委员会办公室本级。详细情况见表：</w:t>
      </w:r>
    </w:p>
    <w:p>
      <w:pPr>
        <w:pStyle w:val="3"/>
        <w:rPr>
          <w:rFonts w:hint="eastAsia"/>
        </w:rPr>
      </w:pPr>
    </w:p>
    <w:tbl>
      <w:tblPr>
        <w:tblStyle w:val="7"/>
        <w:tblpPr w:leftFromText="180" w:rightFromText="180" w:vertAnchor="text" w:horzAnchor="page" w:tblpX="1811" w:tblpY="329"/>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trPr>
        <w:tc>
          <w:tcPr>
            <w:tcW w:w="666"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序 号</w:t>
            </w:r>
          </w:p>
        </w:tc>
        <w:tc>
          <w:tcPr>
            <w:tcW w:w="3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单位名称</w:t>
            </w:r>
          </w:p>
        </w:tc>
        <w:tc>
          <w:tcPr>
            <w:tcW w:w="4602"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6" w:hRule="atLeast"/>
        </w:trPr>
        <w:tc>
          <w:tcPr>
            <w:tcW w:w="66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1</w:t>
            </w:r>
          </w:p>
        </w:tc>
        <w:tc>
          <w:tcPr>
            <w:tcW w:w="3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lang w:eastAsia="zh-CN"/>
              </w:rPr>
            </w:pPr>
            <w:r>
              <w:rPr>
                <w:rFonts w:hint="eastAsia" w:ascii="仿宋_GB2312" w:hAnsi="仿宋_GB2312" w:eastAsia="仿宋_GB2312" w:cs="仿宋_GB2312"/>
                <w:spacing w:val="-10"/>
                <w:position w:val="3"/>
                <w:sz w:val="32"/>
                <w:szCs w:val="32"/>
                <w:lang w:eastAsia="zh-CN"/>
              </w:rPr>
              <w:t>中共磴口县委员会机构编制委员会办公室</w:t>
            </w:r>
          </w:p>
        </w:tc>
        <w:tc>
          <w:tcPr>
            <w:tcW w:w="4602"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jc w:val="center"/>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财政拨款的行政单位</w:t>
            </w:r>
          </w:p>
        </w:tc>
      </w:tr>
    </w:tbl>
    <w:p>
      <w:pPr>
        <w:keepNext w:val="0"/>
        <w:keepLines w:val="0"/>
        <w:pageBreakBefore w:val="0"/>
        <w:widowControl/>
        <w:wordWrap/>
        <w:overflowPunct/>
        <w:topLinePunct w:val="0"/>
        <w:bidi w:val="0"/>
        <w:adjustRightInd w:val="0"/>
        <w:snapToGrid w:val="0"/>
        <w:spacing w:line="560" w:lineRule="exact"/>
        <w:jc w:val="center"/>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77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773"/>
        <w:outlineLvl w:val="2"/>
        <w:rPr>
          <w:sz w:val="32"/>
          <w:szCs w:val="32"/>
        </w:rPr>
      </w:pPr>
      <w:r>
        <w:rPr>
          <w:rFonts w:ascii="黑体" w:hAnsi="黑体" w:eastAsia="黑体" w:cs="黑体"/>
          <w:spacing w:val="8"/>
          <w:sz w:val="32"/>
          <w:szCs w:val="32"/>
        </w:rPr>
        <w:t>三、</w:t>
      </w:r>
      <w:r>
        <w:rPr>
          <w:rFonts w:hint="eastAsia" w:ascii="仿宋" w:hAnsi="仿宋" w:eastAsia="仿宋" w:cs="仿宋"/>
          <w:sz w:val="32"/>
          <w:szCs w:val="32"/>
          <w:lang w:val="en-US" w:eastAsia="zh-CN"/>
        </w:rPr>
        <w:t>2025</w:t>
      </w:r>
      <w:r>
        <w:rPr>
          <w:rFonts w:ascii="黑体" w:hAnsi="黑体" w:eastAsia="黑体" w:cs="黑体"/>
          <w:spacing w:val="7"/>
          <w:sz w:val="32"/>
          <w:szCs w:val="32"/>
        </w:rPr>
        <w:t>年</w:t>
      </w:r>
      <w:r>
        <w:rPr>
          <w:rFonts w:ascii="黑体" w:hAnsi="黑体" w:eastAsia="黑体" w:cs="黑体"/>
          <w:spacing w:val="4"/>
          <w:sz w:val="32"/>
          <w:szCs w:val="32"/>
        </w:rPr>
        <w:t>度部门主要工作任务及目标</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val="0"/>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结合机构编制工作实际，2025年县委编办将重点做好以下几个方面的工作：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（一）深入学习贯彻党的二十届三中全会精神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把学习贯彻党的二十届三中全会精神作为首要政治任务，围绕《中共中央关于进一步全面深化改革、推进中国式现代化的决定》、习近平总书记在全会上的讲话精神，研究制定学习宣传方案、学习计划，坚持领导干部带头引领，原原本本学、逐字逐句学、联系实际学，深刻领会全会精神的重大意义、准确把握全会的精神实质，做好学思悟透、学以致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lang w:val="en-US" w:eastAsia="zh-CN"/>
        </w:rPr>
        <w:t>（二）加强机构编制资源配置，保障全县人才队伍建设</w:t>
      </w:r>
      <w:r>
        <w:rPr>
          <w:rFonts w:hint="eastAsia" w:ascii="仿宋_GB2312" w:hAnsi="仿宋_GB2312" w:eastAsia="仿宋_GB2312" w:cs="仿宋_GB2312"/>
          <w:b w:val="0"/>
          <w:bCs w:val="0"/>
          <w:color w:val="auto"/>
          <w:sz w:val="32"/>
          <w:szCs w:val="32"/>
          <w:lang w:eastAsia="zh-CN"/>
        </w:rPr>
        <w:t>坚持“严控总量、统筹使用、科学增减”总要求，大兴调查研究之风，加强机构编制政策研究，在盘活、管好、用活机构编制资源上持续发力。进</w:t>
      </w:r>
      <w:r>
        <w:rPr>
          <w:rFonts w:hint="eastAsia" w:ascii="仿宋_GB2312" w:hAnsi="仿宋_GB2312" w:eastAsia="仿宋_GB2312" w:cs="仿宋_GB2312"/>
          <w:b w:val="0"/>
          <w:bCs w:val="0"/>
          <w:color w:val="auto"/>
          <w:sz w:val="32"/>
          <w:szCs w:val="32"/>
        </w:rPr>
        <w:t>一步挖掘编制资源潜力，</w:t>
      </w:r>
      <w:r>
        <w:rPr>
          <w:rFonts w:hint="eastAsia" w:ascii="仿宋_GB2312" w:hAnsi="仿宋_GB2312" w:eastAsia="仿宋_GB2312" w:cs="仿宋_GB2312"/>
          <w:b w:val="0"/>
          <w:bCs w:val="0"/>
          <w:i w:val="0"/>
          <w:iCs w:val="0"/>
          <w:caps w:val="0"/>
          <w:color w:val="auto"/>
          <w:spacing w:val="0"/>
          <w:sz w:val="32"/>
          <w:szCs w:val="32"/>
        </w:rPr>
        <w:t>加强重点领域机构编制资源保障</w:t>
      </w:r>
      <w:r>
        <w:rPr>
          <w:rFonts w:hint="eastAsia" w:ascii="仿宋_GB2312" w:hAnsi="仿宋_GB2312" w:eastAsia="仿宋_GB2312" w:cs="仿宋_GB2312"/>
          <w:b w:val="0"/>
          <w:bCs w:val="0"/>
          <w:color w:val="auto"/>
          <w:spacing w:val="0"/>
          <w:sz w:val="32"/>
          <w:szCs w:val="32"/>
          <w:u w:val="none" w:color="auto"/>
          <w:lang w:eastAsia="zh-CN"/>
        </w:rPr>
        <w:t>和</w:t>
      </w:r>
      <w:r>
        <w:rPr>
          <w:rFonts w:hint="eastAsia" w:ascii="仿宋_GB2312" w:hAnsi="仿宋_GB2312" w:eastAsia="仿宋_GB2312" w:cs="仿宋_GB2312"/>
          <w:b w:val="0"/>
          <w:bCs w:val="0"/>
          <w:color w:val="auto"/>
          <w:sz w:val="32"/>
          <w:szCs w:val="32"/>
          <w:lang w:eastAsia="zh-CN"/>
        </w:rPr>
        <w:t>急需紧缺人才</w:t>
      </w:r>
      <w:r>
        <w:rPr>
          <w:rFonts w:hint="eastAsia" w:ascii="仿宋_GB2312" w:hAnsi="仿宋_GB2312" w:eastAsia="仿宋_GB2312" w:cs="仿宋_GB2312"/>
          <w:b w:val="0"/>
          <w:bCs w:val="0"/>
          <w:color w:val="auto"/>
          <w:spacing w:val="0"/>
          <w:sz w:val="32"/>
          <w:szCs w:val="32"/>
          <w:u w:val="none" w:color="auto"/>
        </w:rPr>
        <w:t>引</w:t>
      </w:r>
      <w:r>
        <w:rPr>
          <w:rFonts w:hint="eastAsia" w:ascii="仿宋_GB2312" w:hAnsi="仿宋_GB2312" w:eastAsia="仿宋_GB2312" w:cs="仿宋_GB2312"/>
          <w:b w:val="0"/>
          <w:bCs w:val="0"/>
          <w:color w:val="auto"/>
          <w:spacing w:val="0"/>
          <w:sz w:val="32"/>
          <w:szCs w:val="32"/>
          <w:u w:val="none" w:color="auto"/>
          <w:lang w:eastAsia="zh-CN"/>
        </w:rPr>
        <w:t>进用</w:t>
      </w:r>
      <w:r>
        <w:rPr>
          <w:rFonts w:hint="eastAsia" w:ascii="仿宋_GB2312" w:hAnsi="仿宋_GB2312" w:eastAsia="仿宋_GB2312" w:cs="仿宋_GB2312"/>
          <w:b w:val="0"/>
          <w:bCs w:val="0"/>
          <w:color w:val="auto"/>
          <w:spacing w:val="0"/>
          <w:sz w:val="32"/>
          <w:szCs w:val="32"/>
          <w:u w:val="none" w:color="auto"/>
        </w:rPr>
        <w:t>编</w:t>
      </w:r>
      <w:r>
        <w:rPr>
          <w:rFonts w:hint="eastAsia" w:ascii="仿宋_GB2312" w:hAnsi="仿宋_GB2312" w:eastAsia="仿宋_GB2312" w:cs="仿宋_GB2312"/>
          <w:b w:val="0"/>
          <w:bCs w:val="0"/>
          <w:color w:val="auto"/>
          <w:spacing w:val="0"/>
          <w:sz w:val="32"/>
          <w:szCs w:val="32"/>
          <w:u w:val="none" w:color="auto"/>
          <w:lang w:eastAsia="zh-CN"/>
        </w:rPr>
        <w:t>需求</w:t>
      </w:r>
      <w:r>
        <w:rPr>
          <w:rFonts w:hint="eastAsia" w:ascii="仿宋_GB2312" w:hAnsi="仿宋_GB2312" w:eastAsia="仿宋_GB2312" w:cs="仿宋_GB2312"/>
          <w:b w:val="0"/>
          <w:bCs w:val="0"/>
          <w:color w:val="auto"/>
          <w:sz w:val="32"/>
          <w:szCs w:val="32"/>
          <w:lang w:eastAsia="zh-CN"/>
        </w:rPr>
        <w:t>。继续</w:t>
      </w:r>
      <w:r>
        <w:rPr>
          <w:rFonts w:hint="eastAsia" w:ascii="仿宋_GB2312" w:hAnsi="仿宋_GB2312" w:eastAsia="仿宋_GB2312" w:cs="仿宋_GB2312"/>
          <w:b w:val="0"/>
          <w:bCs w:val="0"/>
          <w:i w:val="0"/>
          <w:iCs w:val="0"/>
          <w:caps w:val="0"/>
          <w:color w:val="auto"/>
          <w:spacing w:val="0"/>
          <w:sz w:val="32"/>
          <w:szCs w:val="32"/>
          <w:lang w:eastAsia="zh-CN"/>
        </w:rPr>
        <w:t>做好政策性安置、</w:t>
      </w:r>
      <w:r>
        <w:rPr>
          <w:rFonts w:hint="eastAsia" w:ascii="仿宋_GB2312" w:hAnsi="仿宋_GB2312" w:eastAsia="仿宋_GB2312" w:cs="仿宋_GB2312"/>
          <w:b w:val="0"/>
          <w:bCs w:val="0"/>
          <w:i w:val="0"/>
          <w:iCs w:val="0"/>
          <w:caps w:val="0"/>
          <w:color w:val="auto"/>
          <w:spacing w:val="0"/>
          <w:sz w:val="32"/>
          <w:szCs w:val="32"/>
        </w:rPr>
        <w:t>重点领域</w:t>
      </w:r>
      <w:r>
        <w:rPr>
          <w:rFonts w:hint="eastAsia" w:ascii="仿宋_GB2312" w:hAnsi="仿宋_GB2312" w:eastAsia="仿宋_GB2312" w:cs="仿宋_GB2312"/>
          <w:b w:val="0"/>
          <w:bCs w:val="0"/>
          <w:i w:val="0"/>
          <w:iCs w:val="0"/>
          <w:caps w:val="0"/>
          <w:color w:val="auto"/>
          <w:spacing w:val="0"/>
          <w:sz w:val="32"/>
          <w:szCs w:val="32"/>
          <w:lang w:eastAsia="zh-CN"/>
        </w:rPr>
        <w:t>高层次人才引进、基层人才队伍建设</w:t>
      </w:r>
      <w:r>
        <w:rPr>
          <w:rFonts w:hint="eastAsia" w:ascii="仿宋_GB2312" w:hAnsi="仿宋_GB2312" w:eastAsia="仿宋_GB2312" w:cs="仿宋_GB2312"/>
          <w:b w:val="0"/>
          <w:bCs w:val="0"/>
          <w:i w:val="0"/>
          <w:iCs w:val="0"/>
          <w:caps w:val="0"/>
          <w:color w:val="auto"/>
          <w:spacing w:val="0"/>
          <w:sz w:val="32"/>
          <w:szCs w:val="32"/>
        </w:rPr>
        <w:t>机构编制资源保障</w:t>
      </w:r>
      <w:r>
        <w:rPr>
          <w:rFonts w:hint="eastAsia" w:ascii="仿宋_GB2312" w:hAnsi="仿宋_GB2312" w:eastAsia="仿宋_GB2312" w:cs="仿宋_GB2312"/>
          <w:b w:val="0"/>
          <w:bCs w:val="0"/>
          <w:color w:val="auto"/>
          <w:sz w:val="32"/>
          <w:szCs w:val="32"/>
          <w:lang w:eastAsia="zh-CN"/>
        </w:rPr>
        <w:t>，不断提升机构编制使用效益。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（三）稳步有序推进事业单位改革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认真学习贯彻党中央、自治区党委、市委关于事业单位改革相关文件精神，加强对改革工作的统筹协调,明确责任分工、细化工作措施和时间节点,认真做好并有序推进改革方案、实施意见的拟订报批,事业单位“三定”规定审核印发,编制划转,人员转隶和机构挂牌等改革各项工作</w:t>
      </w:r>
      <w:r>
        <w:rPr>
          <w:rFonts w:hint="eastAsia" w:ascii="仿宋_GB2312" w:hAnsi="仿宋_GB2312" w:eastAsia="仿宋_GB2312" w:cs="仿宋_GB2312"/>
          <w:b w:val="0"/>
          <w:bCs w:val="0"/>
          <w:color w:val="auto"/>
          <w:sz w:val="32"/>
          <w:szCs w:val="40"/>
          <w:highlight w:val="none"/>
          <w:u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（四）扎实推进苏木镇履行职责事项清单工作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入贯彻落实《关于全面建立乡镇（街道）履行职责事项清单的意见》精神和全区苏木乡镇（街道）履行职责事项清单工作会议精神，准确把握基本履职清单、配合履职事项清单、上级部门收回事项清单的任务要求、清单制定口径要求和方法步骤，深入调查研究，全面梳理掌握各苏木镇履行职责事项基本情况，加强业务指导，确保清单工作稳妥有序推进落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（五）深化地方公安机关机构编制管理改革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按照上级相关改革精神，坚持优化协同高效，聚焦战斗力标准，立足实战化要求，加强专业化建设，推行扁平化管理，进一步优化公安机关职能配置、机构设置、力量资源配置，构建职能科学、事权清晰、指挥顺畅、运行高效的地方公安机关机构职能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（六）持续加强自身建设，打造过硬队伍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pacing w:val="0"/>
          <w:sz w:val="32"/>
          <w:szCs w:val="32"/>
          <w:u w:val="none" w:color="auto"/>
          <w:lang w:eastAsia="zh-CN"/>
        </w:rPr>
      </w:pPr>
      <w:r>
        <w:rPr>
          <w:rFonts w:hint="eastAsia" w:ascii="仿宋_GB2312" w:hAnsi="仿宋_GB2312" w:eastAsia="仿宋_GB2312" w:cs="仿宋_GB2312"/>
          <w:b w:val="0"/>
          <w:bCs w:val="0"/>
          <w:snapToGrid/>
          <w:color w:val="auto"/>
          <w:spacing w:val="0"/>
          <w:kern w:val="2"/>
          <w:sz w:val="32"/>
          <w:szCs w:val="32"/>
          <w:u w:val="none" w:color="auto"/>
          <w:lang w:val="en-US" w:eastAsia="zh-CN"/>
        </w:rPr>
        <w:t>以习近平新时代中国特色社会主义思想为指导，深入学习党的路线、方针、政策，牢牢把握铸牢中华民族共同体意识主线，不断提高政治判断力、政治领悟力、政治执行力，不折不扣贯彻党中央决策部署和自治区党委、市委、县委工作要求，把对党的绝对忠诚体现到机构改革、机构编制管理的全过程。加强机构编制业务培训，不断</w:t>
      </w:r>
      <w:r>
        <w:rPr>
          <w:rFonts w:hint="eastAsia" w:ascii="仿宋_GB2312" w:hAnsi="仿宋_GB2312" w:eastAsia="仿宋_GB2312" w:cs="仿宋_GB2312"/>
          <w:b w:val="0"/>
          <w:bCs w:val="0"/>
          <w:color w:val="auto"/>
          <w:sz w:val="32"/>
          <w:szCs w:val="32"/>
          <w:lang w:val="en-US" w:eastAsia="zh-CN"/>
        </w:rPr>
        <w:t>提升领导干部业务素养和履职能力。深化和巩固党纪学习教育成果，</w:t>
      </w:r>
      <w:r>
        <w:rPr>
          <w:rFonts w:hint="eastAsia" w:ascii="仿宋_GB2312" w:hAnsi="仿宋_GB2312" w:eastAsia="仿宋_GB2312" w:cs="仿宋_GB2312"/>
          <w:b w:val="0"/>
          <w:bCs w:val="0"/>
          <w:snapToGrid/>
          <w:color w:val="auto"/>
          <w:spacing w:val="0"/>
          <w:kern w:val="2"/>
          <w:sz w:val="32"/>
          <w:szCs w:val="32"/>
          <w:u w:val="none" w:color="auto"/>
          <w:lang w:val="en-US" w:eastAsia="zh-CN"/>
        </w:rPr>
        <w:t>把严纪律、守规矩作为第一准则，进一步</w:t>
      </w:r>
      <w:r>
        <w:rPr>
          <w:rFonts w:hint="eastAsia" w:ascii="仿宋_GB2312" w:hAnsi="仿宋_GB2312" w:eastAsia="仿宋_GB2312" w:cs="仿宋_GB2312"/>
          <w:b w:val="0"/>
          <w:bCs w:val="0"/>
          <w:color w:val="auto"/>
          <w:sz w:val="32"/>
          <w:szCs w:val="32"/>
          <w:lang w:val="en-US" w:eastAsia="zh-CN"/>
        </w:rPr>
        <w:t>强化纪律意识和规矩意识，严格执行民主集中制和“三重一大”决策机制，</w:t>
      </w:r>
      <w:r>
        <w:rPr>
          <w:rFonts w:hint="eastAsia" w:ascii="仿宋_GB2312" w:hAnsi="仿宋_GB2312" w:eastAsia="仿宋_GB2312" w:cs="仿宋_GB2312"/>
          <w:b w:val="0"/>
          <w:bCs w:val="0"/>
          <w:snapToGrid/>
          <w:color w:val="auto"/>
          <w:spacing w:val="0"/>
          <w:kern w:val="2"/>
          <w:sz w:val="32"/>
          <w:szCs w:val="32"/>
          <w:u w:val="none" w:color="auto"/>
          <w:lang w:val="en-US" w:eastAsia="zh-CN"/>
        </w:rPr>
        <w:t>加强对权力运行各环节的监督，营造风清气正的工作氛围。不断转变工作作风，坚持</w:t>
      </w:r>
      <w:r>
        <w:rPr>
          <w:rFonts w:hint="eastAsia" w:ascii="仿宋_GB2312" w:hAnsi="仿宋_GB2312" w:eastAsia="仿宋_GB2312" w:cs="仿宋_GB2312"/>
          <w:snapToGrid/>
          <w:color w:val="auto"/>
          <w:spacing w:val="0"/>
          <w:kern w:val="2"/>
          <w:sz w:val="32"/>
          <w:szCs w:val="32"/>
          <w:u w:val="none" w:color="auto"/>
          <w:lang w:val="en-US" w:eastAsia="zh-CN"/>
        </w:rPr>
        <w:t>把纪律挺在前面，树立和践行正确的政绩观，紧扣廉洁从政的“风纪扣”，</w:t>
      </w:r>
      <w:r>
        <w:rPr>
          <w:rFonts w:hint="eastAsia" w:ascii="仿宋_GB2312" w:hAnsi="仿宋_GB2312" w:eastAsia="仿宋_GB2312" w:cs="仿宋_GB2312"/>
          <w:color w:val="auto"/>
          <w:sz w:val="32"/>
          <w:szCs w:val="32"/>
          <w:lang w:val="en-US" w:eastAsia="zh-CN"/>
        </w:rPr>
        <w:t>坚持依法用权、依法履职、依规办事，</w:t>
      </w:r>
      <w:r>
        <w:rPr>
          <w:rFonts w:hint="eastAsia" w:ascii="仿宋_GB2312" w:hAnsi="仿宋_GB2312" w:eastAsia="仿宋_GB2312" w:cs="仿宋_GB2312"/>
          <w:snapToGrid/>
          <w:color w:val="auto"/>
          <w:spacing w:val="0"/>
          <w:kern w:val="2"/>
          <w:sz w:val="32"/>
          <w:szCs w:val="32"/>
          <w:u w:val="none" w:color="auto"/>
          <w:lang w:val="en-US" w:eastAsia="zh-CN"/>
        </w:rPr>
        <w:t>努力提供优质、公正、高效的服务，树立机构编制部门良好形象。</w:t>
      </w:r>
    </w:p>
    <w:p>
      <w:pPr>
        <w:keepNext w:val="0"/>
        <w:keepLines w:val="0"/>
        <w:pageBreakBefore w:val="0"/>
        <w:widowControl/>
        <w:numPr>
          <w:ilvl w:val="0"/>
          <w:numId w:val="2"/>
        </w:numPr>
        <w:wordWrap/>
        <w:overflowPunct/>
        <w:topLinePunct w:val="0"/>
        <w:bidi w:val="0"/>
        <w:adjustRightInd w:val="0"/>
        <w:snapToGrid w:val="0"/>
        <w:spacing w:line="560" w:lineRule="exact"/>
        <w:ind w:left="797"/>
        <w:outlineLvl w:val="1"/>
        <w:rPr>
          <w:rFonts w:ascii="微软雅黑" w:hAnsi="微软雅黑" w:eastAsia="微软雅黑" w:cs="微软雅黑"/>
          <w:spacing w:val="22"/>
          <w:sz w:val="32"/>
          <w:szCs w:val="32"/>
        </w:rPr>
      </w:pPr>
      <w:r>
        <w:rPr>
          <w:rFonts w:ascii="微软雅黑" w:hAnsi="微软雅黑" w:eastAsia="微软雅黑" w:cs="微软雅黑"/>
          <w:spacing w:val="22"/>
          <w:sz w:val="32"/>
          <w:szCs w:val="32"/>
        </w:rPr>
        <w:t xml:space="preserve">  </w:t>
      </w:r>
      <w:r>
        <w:rPr>
          <w:rFonts w:hint="eastAsia" w:ascii="微软雅黑" w:hAnsi="微软雅黑" w:eastAsia="微软雅黑" w:cs="微软雅黑"/>
          <w:sz w:val="32"/>
          <w:szCs w:val="32"/>
          <w:lang w:val="en-US" w:eastAsia="zh-CN"/>
        </w:rPr>
        <w:t>2025</w:t>
      </w:r>
      <w:r>
        <w:rPr>
          <w:rFonts w:ascii="微软雅黑" w:hAnsi="微软雅黑" w:eastAsia="微软雅黑" w:cs="微软雅黑"/>
          <w:spacing w:val="22"/>
          <w:sz w:val="32"/>
          <w:szCs w:val="32"/>
        </w:rPr>
        <w:t>年度部门预算情况说明</w:t>
      </w:r>
    </w:p>
    <w:p>
      <w:pPr>
        <w:pStyle w:val="3"/>
        <w:numPr>
          <w:ilvl w:val="0"/>
          <w:numId w:val="0"/>
        </w:numPr>
        <w:rPr>
          <w:color w:val="FF0000"/>
          <w:sz w:val="32"/>
          <w:szCs w:val="32"/>
        </w:rPr>
      </w:pPr>
    </w:p>
    <w:p>
      <w:pPr>
        <w:keepNext w:val="0"/>
        <w:keepLines w:val="0"/>
        <w:pageBreakBefore w:val="0"/>
        <w:widowControl/>
        <w:wordWrap/>
        <w:overflowPunct/>
        <w:topLinePunct w:val="0"/>
        <w:bidi w:val="0"/>
        <w:adjustRightInd w:val="0"/>
        <w:snapToGrid w:val="0"/>
        <w:spacing w:line="560" w:lineRule="exact"/>
        <w:ind w:left="651"/>
        <w:outlineLvl w:val="2"/>
        <w:rPr>
          <w:rFonts w:ascii="黑体" w:hAnsi="黑体" w:eastAsia="黑体" w:cs="黑体"/>
          <w:sz w:val="32"/>
          <w:szCs w:val="32"/>
        </w:rPr>
      </w:pPr>
      <w:r>
        <w:rPr>
          <w:rFonts w:ascii="黑体" w:hAnsi="黑体" w:eastAsia="黑体" w:cs="黑体"/>
          <w:spacing w:val="14"/>
          <w:position w:val="4"/>
          <w:sz w:val="32"/>
          <w:szCs w:val="32"/>
        </w:rPr>
        <w:t>一</w:t>
      </w:r>
      <w:r>
        <w:rPr>
          <w:rFonts w:ascii="黑体" w:hAnsi="黑体" w:eastAsia="黑体" w:cs="黑体"/>
          <w:spacing w:val="8"/>
          <w:position w:val="4"/>
          <w:sz w:val="32"/>
          <w:szCs w:val="32"/>
        </w:rPr>
        <w:t>、收支预算总体情况说明</w:t>
      </w:r>
    </w:p>
    <w:p>
      <w:pPr>
        <w:keepNext w:val="0"/>
        <w:keepLines w:val="0"/>
        <w:pageBreakBefore w:val="0"/>
        <w:widowControl/>
        <w:wordWrap/>
        <w:overflowPunct/>
        <w:topLinePunct w:val="0"/>
        <w:bidi w:val="0"/>
        <w:adjustRightInd w:val="0"/>
        <w:snapToGrid w:val="0"/>
        <w:spacing w:line="560" w:lineRule="exact"/>
        <w:ind w:right="91"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u w:val="none" w:color="auto"/>
          <w:lang w:eastAsia="zh-CN"/>
        </w:rPr>
        <w:t>中共磴口县委员会机构编制委员会办公室</w:t>
      </w:r>
      <w:r>
        <w:rPr>
          <w:rFonts w:hint="eastAsia" w:ascii="仿宋_GB2312" w:hAnsi="仿宋_GB2312" w:eastAsia="仿宋_GB2312" w:cs="仿宋_GB2312"/>
          <w:sz w:val="32"/>
          <w:szCs w:val="32"/>
          <w:u w:val="none" w:color="auto"/>
          <w:lang w:val="en-US" w:eastAsia="zh-CN"/>
        </w:rPr>
        <w:t>2025</w:t>
      </w:r>
      <w:r>
        <w:rPr>
          <w:rFonts w:hint="eastAsia" w:ascii="仿宋_GB2312" w:hAnsi="仿宋_GB2312" w:eastAsia="仿宋_GB2312" w:cs="仿宋_GB2312"/>
          <w:spacing w:val="1"/>
          <w:sz w:val="32"/>
          <w:szCs w:val="32"/>
          <w:u w:val="none" w:color="auto"/>
        </w:rPr>
        <w:t>年度收入、支出</w:t>
      </w:r>
      <w:r>
        <w:rPr>
          <w:rFonts w:hint="eastAsia" w:ascii="仿宋_GB2312" w:hAnsi="仿宋_GB2312" w:eastAsia="仿宋_GB2312" w:cs="仿宋_GB2312"/>
          <w:sz w:val="32"/>
          <w:szCs w:val="32"/>
          <w:u w:val="none" w:color="auto"/>
        </w:rPr>
        <w:t>预算总计</w:t>
      </w:r>
      <w:r>
        <w:rPr>
          <w:rFonts w:hint="eastAsia" w:ascii="仿宋_GB2312" w:hAnsi="仿宋_GB2312" w:eastAsia="仿宋_GB2312" w:cs="仿宋_GB2312"/>
          <w:sz w:val="32"/>
          <w:szCs w:val="32"/>
          <w:u w:val="none" w:color="auto"/>
          <w:lang w:val="en-US" w:eastAsia="zh-CN"/>
        </w:rPr>
        <w:t>224.43</w:t>
      </w:r>
      <w:r>
        <w:rPr>
          <w:rFonts w:hint="eastAsia" w:ascii="仿宋_GB2312" w:hAnsi="仿宋_GB2312" w:eastAsia="仿宋_GB2312" w:cs="仿宋_GB2312"/>
          <w:sz w:val="32"/>
          <w:szCs w:val="32"/>
          <w:u w:val="none" w:color="auto"/>
        </w:rPr>
        <w:t>万元，与上</w:t>
      </w:r>
      <w:r>
        <w:rPr>
          <w:rFonts w:hint="eastAsia" w:ascii="仿宋_GB2312" w:hAnsi="仿宋_GB2312" w:eastAsia="仿宋_GB2312" w:cs="仿宋_GB2312"/>
          <w:spacing w:val="-1"/>
          <w:sz w:val="32"/>
          <w:szCs w:val="32"/>
          <w:u w:val="none" w:color="auto"/>
        </w:rPr>
        <w:t>年相比收、支预算总计各增加</w:t>
      </w:r>
      <w:r>
        <w:rPr>
          <w:rFonts w:hint="eastAsia" w:ascii="仿宋_GB2312" w:hAnsi="仿宋_GB2312" w:eastAsia="仿宋_GB2312" w:cs="仿宋_GB2312"/>
          <w:spacing w:val="-1"/>
          <w:sz w:val="32"/>
          <w:szCs w:val="32"/>
          <w:u w:val="none" w:color="auto"/>
          <w:lang w:val="en-US" w:eastAsia="zh-CN"/>
        </w:rPr>
        <w:t>8.74</w:t>
      </w:r>
      <w:r>
        <w:rPr>
          <w:rFonts w:hint="eastAsia" w:ascii="仿宋_GB2312" w:hAnsi="仿宋_GB2312" w:eastAsia="仿宋_GB2312" w:cs="仿宋_GB2312"/>
          <w:spacing w:val="-1"/>
          <w:sz w:val="32"/>
          <w:szCs w:val="32"/>
          <w:u w:val="none" w:color="auto"/>
        </w:rPr>
        <w:t>万元，增长</w:t>
      </w:r>
      <w:r>
        <w:rPr>
          <w:rFonts w:hint="eastAsia" w:ascii="仿宋_GB2312" w:hAnsi="仿宋_GB2312" w:eastAsia="仿宋_GB2312" w:cs="仿宋_GB2312"/>
          <w:spacing w:val="-1"/>
          <w:sz w:val="32"/>
          <w:szCs w:val="32"/>
          <w:u w:val="none" w:color="auto"/>
          <w:lang w:val="en-US" w:eastAsia="zh-CN"/>
        </w:rPr>
        <w:t>4.05</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pacing w:val="2"/>
          <w:sz w:val="32"/>
          <w:szCs w:val="32"/>
        </w:rPr>
        <w:t>其中</w:t>
      </w:r>
      <w:r>
        <w:rPr>
          <w:rFonts w:hint="eastAsia" w:ascii="仿宋_GB2312" w:hAnsi="仿宋_GB2312" w:eastAsia="仿宋_GB2312" w:cs="仿宋_GB2312"/>
          <w:spacing w:val="1"/>
          <w:sz w:val="32"/>
          <w:szCs w:val="32"/>
        </w:rPr>
        <w:t>：</w:t>
      </w:r>
    </w:p>
    <w:p>
      <w:pPr>
        <w:keepNext w:val="0"/>
        <w:keepLines w:val="0"/>
        <w:pageBreakBefore w:val="0"/>
        <w:widowControl/>
        <w:wordWrap/>
        <w:overflowPunct/>
        <w:topLinePunct w:val="0"/>
        <w:bidi w:val="0"/>
        <w:adjustRightInd w:val="0"/>
        <w:snapToGrid w:val="0"/>
        <w:spacing w:line="560" w:lineRule="exact"/>
        <w:ind w:left="671"/>
        <w:rPr>
          <w:rFonts w:ascii="楷体" w:hAnsi="楷体" w:eastAsia="楷体" w:cs="楷体"/>
          <w:sz w:val="32"/>
          <w:szCs w:val="32"/>
          <w:u w:val="none" w:color="auto"/>
        </w:rPr>
      </w:pPr>
      <w:r>
        <w:rPr>
          <w:rFonts w:ascii="楷体" w:hAnsi="楷体" w:eastAsia="楷体" w:cs="楷体"/>
          <w:spacing w:val="26"/>
          <w:sz w:val="32"/>
          <w:szCs w:val="32"/>
          <w:u w:val="none" w:color="auto"/>
          <w14:textOutline w14:w="5793" w14:cap="sq" w14:cmpd="sng">
            <w14:solidFill>
              <w14:srgbClr w14:val="000000"/>
            </w14:solidFill>
            <w14:prstDash w14:val="solid"/>
            <w14:bevel/>
          </w14:textOutline>
        </w:rPr>
        <w:t>(</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一)</w:t>
      </w:r>
      <w:r>
        <w:rPr>
          <w:rFonts w:ascii="楷体" w:hAnsi="楷体" w:eastAsia="楷体" w:cs="楷体"/>
          <w:spacing w:val="14"/>
          <w:sz w:val="32"/>
          <w:szCs w:val="32"/>
          <w:u w:val="none" w:color="auto"/>
        </w:rPr>
        <w:t xml:space="preserve"> </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收入预算总计</w:t>
      </w:r>
      <w:r>
        <w:rPr>
          <w:rFonts w:hint="eastAsia" w:ascii="仿宋_GB2312" w:hAnsi="仿宋_GB2312" w:eastAsia="仿宋_GB2312" w:cs="仿宋_GB2312"/>
          <w:sz w:val="32"/>
          <w:szCs w:val="32"/>
          <w:u w:val="none" w:color="auto"/>
          <w:lang w:val="en-US" w:eastAsia="zh-CN"/>
        </w:rPr>
        <w:t>224.43</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万元。包括：</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1．本年收入合计</w:t>
      </w:r>
      <w:r>
        <w:rPr>
          <w:rFonts w:hint="eastAsia" w:ascii="仿宋_GB2312" w:hAnsi="仿宋_GB2312" w:eastAsia="仿宋_GB2312" w:cs="仿宋_GB2312"/>
          <w:sz w:val="32"/>
          <w:szCs w:val="32"/>
          <w:u w:val="none" w:color="auto"/>
          <w:lang w:val="en-US" w:eastAsia="zh-CN"/>
        </w:rPr>
        <w:t>224.43</w:t>
      </w:r>
      <w:r>
        <w:rPr>
          <w:rFonts w:hint="eastAsia" w:ascii="仿宋" w:hAnsi="仿宋" w:eastAsia="仿宋" w:cs="仿宋"/>
          <w:sz w:val="32"/>
          <w:szCs w:val="32"/>
        </w:rPr>
        <w:t>万元。</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(1) 一般公共预算拨款收入</w:t>
      </w:r>
      <w:r>
        <w:rPr>
          <w:rFonts w:hint="eastAsia" w:ascii="仿宋_GB2312" w:hAnsi="仿宋_GB2312" w:eastAsia="仿宋_GB2312" w:cs="仿宋_GB2312"/>
          <w:sz w:val="32"/>
          <w:szCs w:val="32"/>
          <w:u w:val="none" w:color="auto"/>
          <w:lang w:val="en-US" w:eastAsia="zh-CN"/>
        </w:rPr>
        <w:t>224.43</w:t>
      </w:r>
      <w:r>
        <w:rPr>
          <w:rFonts w:hint="eastAsia" w:ascii="仿宋" w:hAnsi="仿宋" w:eastAsia="仿宋" w:cs="仿宋"/>
          <w:sz w:val="32"/>
          <w:szCs w:val="32"/>
        </w:rPr>
        <w:t>万元，与上年相比增加</w:t>
      </w:r>
      <w:r>
        <w:rPr>
          <w:rFonts w:hint="eastAsia" w:ascii="仿宋_GB2312" w:hAnsi="仿宋_GB2312" w:eastAsia="仿宋_GB2312" w:cs="仿宋_GB2312"/>
          <w:spacing w:val="-1"/>
          <w:sz w:val="32"/>
          <w:szCs w:val="32"/>
          <w:u w:val="none" w:color="auto"/>
          <w:lang w:val="en-US" w:eastAsia="zh-CN"/>
        </w:rPr>
        <w:t>8.74</w:t>
      </w:r>
      <w:r>
        <w:rPr>
          <w:rFonts w:hint="eastAsia" w:ascii="仿宋" w:hAnsi="仿宋" w:eastAsia="仿宋" w:cs="仿宋"/>
          <w:sz w:val="32"/>
          <w:szCs w:val="32"/>
        </w:rPr>
        <w:t>万元，增长</w:t>
      </w:r>
      <w:r>
        <w:rPr>
          <w:rFonts w:hint="eastAsia" w:ascii="仿宋_GB2312" w:hAnsi="仿宋_GB2312" w:eastAsia="仿宋_GB2312" w:cs="仿宋_GB2312"/>
          <w:spacing w:val="-1"/>
          <w:sz w:val="32"/>
          <w:szCs w:val="32"/>
          <w:u w:val="none" w:color="auto"/>
          <w:lang w:val="en-US" w:eastAsia="zh-CN"/>
        </w:rPr>
        <w:t>4.05</w:t>
      </w:r>
      <w:r>
        <w:rPr>
          <w:rFonts w:hint="eastAsia" w:ascii="仿宋_GB2312" w:hAnsi="仿宋_GB2312" w:eastAsia="仿宋_GB2312" w:cs="仿宋_GB2312"/>
          <w:sz w:val="32"/>
          <w:szCs w:val="32"/>
          <w:u w:val="none" w:color="auto"/>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：一是</w:t>
      </w:r>
      <w:r>
        <w:rPr>
          <w:rFonts w:hint="eastAsia" w:ascii="仿宋" w:hAnsi="仿宋" w:eastAsia="仿宋" w:cs="仿宋"/>
          <w:sz w:val="32"/>
          <w:szCs w:val="32"/>
          <w:u w:val="none" w:color="auto"/>
          <w:lang w:val="en-US" w:eastAsia="zh-CN"/>
        </w:rPr>
        <w:t>2025年有1名退休人员</w:t>
      </w:r>
      <w:r>
        <w:rPr>
          <w:rFonts w:hint="eastAsia" w:ascii="仿宋" w:hAnsi="仿宋" w:eastAsia="仿宋" w:cs="仿宋"/>
          <w:sz w:val="32"/>
          <w:szCs w:val="32"/>
          <w:lang w:val="en-US" w:eastAsia="zh-CN"/>
        </w:rPr>
        <w:t>，财政拨款收入职业年金增加；二是人员工资调资和社会保险水平提高，财政拨款收入增加</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(2) 政府性基金预算拨款收入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w:t>
      </w:r>
      <w:r>
        <w:rPr>
          <w:rFonts w:hint="eastAsia" w:ascii="仿宋" w:hAnsi="仿宋" w:eastAsia="仿宋" w:cs="仿宋"/>
          <w:sz w:val="32"/>
          <w:szCs w:val="32"/>
          <w:lang w:val="en-US" w:eastAsia="zh-CN"/>
        </w:rPr>
        <w:t>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(3) 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(4)财政专户管理资金收入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(5) 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(6) 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(7) 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(8) 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(9) 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2．上年结转结余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left="669"/>
        <w:rPr>
          <w:rFonts w:ascii="楷体" w:hAnsi="楷体" w:eastAsia="楷体" w:cs="楷体"/>
          <w:sz w:val="32"/>
          <w:szCs w:val="32"/>
          <w:u w:val="none" w:color="auto"/>
        </w:rPr>
      </w:pPr>
      <w:r>
        <w:rPr>
          <w:rFonts w:ascii="楷体" w:hAnsi="楷体" w:eastAsia="楷体" w:cs="楷体"/>
          <w:spacing w:val="26"/>
          <w:sz w:val="32"/>
          <w:szCs w:val="32"/>
          <w:u w:val="none" w:color="auto"/>
          <w14:textOutline w14:w="5793" w14:cap="sq" w14:cmpd="sng">
            <w14:solidFill>
              <w14:srgbClr w14:val="000000"/>
            </w14:solidFill>
            <w14:prstDash w14:val="solid"/>
            <w14:bevel/>
          </w14:textOutline>
        </w:rPr>
        <w:t>(</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二)</w:t>
      </w:r>
      <w:r>
        <w:rPr>
          <w:rFonts w:ascii="楷体" w:hAnsi="楷体" w:eastAsia="楷体" w:cs="楷体"/>
          <w:spacing w:val="14"/>
          <w:sz w:val="32"/>
          <w:szCs w:val="32"/>
          <w:u w:val="none" w:color="auto"/>
        </w:rPr>
        <w:t xml:space="preserve"> </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支出预算总计</w:t>
      </w:r>
      <w:r>
        <w:rPr>
          <w:rFonts w:hint="eastAsia" w:ascii="仿宋_GB2312" w:hAnsi="仿宋_GB2312" w:eastAsia="仿宋_GB2312" w:cs="仿宋_GB2312"/>
          <w:sz w:val="32"/>
          <w:szCs w:val="32"/>
          <w:u w:val="none" w:color="auto"/>
          <w:lang w:val="en-US" w:eastAsia="zh-CN"/>
        </w:rPr>
        <w:t>224.43</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万元。包括：</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1．本年支出合计</w:t>
      </w:r>
      <w:r>
        <w:rPr>
          <w:rFonts w:hint="eastAsia" w:ascii="仿宋_GB2312" w:hAnsi="仿宋_GB2312" w:eastAsia="仿宋_GB2312" w:cs="仿宋_GB2312"/>
          <w:sz w:val="32"/>
          <w:szCs w:val="32"/>
          <w:u w:val="none" w:color="auto"/>
          <w:lang w:val="en-US" w:eastAsia="zh-CN"/>
        </w:rPr>
        <w:t>224.43</w:t>
      </w:r>
      <w:r>
        <w:rPr>
          <w:rFonts w:hint="eastAsia" w:ascii="仿宋_GB2312" w:hAnsi="仿宋_GB2312" w:eastAsia="仿宋_GB2312" w:cs="仿宋_GB2312"/>
          <w:sz w:val="32"/>
          <w:szCs w:val="32"/>
        </w:rPr>
        <w:t>万元。</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169.38</w:t>
      </w:r>
      <w:r>
        <w:rPr>
          <w:rFonts w:hint="eastAsia" w:ascii="仿宋_GB2312" w:hAnsi="仿宋_GB2312" w:eastAsia="仿宋_GB2312" w:cs="仿宋_GB2312"/>
          <w:sz w:val="32"/>
          <w:szCs w:val="32"/>
        </w:rPr>
        <w:t>万元，主要用于机构</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运转、</w:t>
      </w:r>
      <w:r>
        <w:rPr>
          <w:rFonts w:hint="eastAsia" w:ascii="仿宋_GB2312" w:hAnsi="仿宋_GB2312" w:eastAsia="仿宋_GB2312" w:cs="仿宋_GB2312"/>
          <w:sz w:val="32"/>
          <w:szCs w:val="32"/>
          <w:lang w:eastAsia="zh-CN"/>
        </w:rPr>
        <w:t>人员工资及社会保险缴纳</w:t>
      </w:r>
      <w:r>
        <w:rPr>
          <w:rFonts w:hint="eastAsia" w:ascii="仿宋_GB2312" w:hAnsi="仿宋_GB2312" w:eastAsia="仿宋_GB2312" w:cs="仿宋_GB2312"/>
          <w:sz w:val="32"/>
          <w:szCs w:val="32"/>
        </w:rPr>
        <w:t xml:space="preserve">等方面支出。与上年相比增加 </w:t>
      </w:r>
      <w:r>
        <w:rPr>
          <w:rFonts w:hint="eastAsia" w:ascii="仿宋_GB2312" w:hAnsi="仿宋_GB2312" w:eastAsia="仿宋_GB2312" w:cs="仿宋_GB2312"/>
          <w:sz w:val="32"/>
          <w:szCs w:val="32"/>
          <w:lang w:val="en-US" w:eastAsia="zh-CN"/>
        </w:rPr>
        <w:t>6.28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rPr>
        <w:t>。主要原因是 ：</w:t>
      </w:r>
      <w:r>
        <w:rPr>
          <w:rFonts w:hint="eastAsia" w:ascii="仿宋_GB2312" w:hAnsi="仿宋_GB2312" w:eastAsia="仿宋_GB2312" w:cs="仿宋_GB2312"/>
          <w:sz w:val="32"/>
          <w:szCs w:val="32"/>
          <w:lang w:val="en-US" w:eastAsia="zh-CN"/>
        </w:rPr>
        <w:t>一是</w:t>
      </w:r>
      <w:r>
        <w:rPr>
          <w:rFonts w:hint="eastAsia" w:ascii="仿宋" w:hAnsi="仿宋" w:eastAsia="仿宋" w:cs="仿宋"/>
          <w:sz w:val="32"/>
          <w:szCs w:val="32"/>
          <w:u w:val="none" w:color="auto"/>
          <w:lang w:val="en-US" w:eastAsia="zh-CN"/>
        </w:rPr>
        <w:t>2025年有1名退休人员</w:t>
      </w:r>
      <w:r>
        <w:rPr>
          <w:rFonts w:hint="eastAsia" w:ascii="仿宋" w:hAnsi="仿宋" w:eastAsia="仿宋" w:cs="仿宋"/>
          <w:sz w:val="32"/>
          <w:szCs w:val="32"/>
          <w:lang w:val="en-US" w:eastAsia="zh-CN"/>
        </w:rPr>
        <w:t>，财政拨款收入职业年金增加</w:t>
      </w:r>
      <w:r>
        <w:rPr>
          <w:rFonts w:hint="eastAsia" w:ascii="仿宋_GB2312" w:hAnsi="仿宋_GB2312" w:eastAsia="仿宋_GB2312" w:cs="仿宋_GB2312"/>
          <w:sz w:val="32"/>
          <w:szCs w:val="32"/>
          <w:lang w:val="en-US" w:eastAsia="zh-CN"/>
        </w:rPr>
        <w:t>；二是人员工资调资和社会保险水平提高，财政拨款支出增加。</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会保障和就业（类）支出</w:t>
      </w:r>
      <w:r>
        <w:rPr>
          <w:rFonts w:hint="eastAsia" w:ascii="仿宋_GB2312" w:hAnsi="仿宋_GB2312" w:eastAsia="仿宋_GB2312" w:cs="仿宋_GB2312"/>
          <w:sz w:val="32"/>
          <w:szCs w:val="32"/>
          <w:lang w:val="en-US" w:eastAsia="zh-CN"/>
        </w:rPr>
        <w:t>28.70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机关退休人员经费和在职人员社保公补缴费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32.26</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eastAsia="zh-CN"/>
        </w:rPr>
        <w:t>工资调</w:t>
      </w:r>
      <w:r>
        <w:rPr>
          <w:rFonts w:hint="eastAsia" w:ascii="仿宋_GB2312" w:eastAsia="仿宋_GB2312"/>
          <w:color w:val="auto"/>
          <w:sz w:val="32"/>
          <w:szCs w:val="32"/>
          <w:lang w:val="en-US" w:eastAsia="zh-CN"/>
        </w:rPr>
        <w:t>整</w:t>
      </w:r>
      <w:r>
        <w:rPr>
          <w:rFonts w:hint="eastAsia" w:ascii="仿宋_GB2312" w:eastAsia="仿宋_GB2312"/>
          <w:color w:val="auto"/>
          <w:sz w:val="32"/>
          <w:szCs w:val="32"/>
          <w:lang w:eastAsia="zh-CN"/>
        </w:rPr>
        <w:t>导致社会保险缴费增加</w:t>
      </w:r>
      <w:r>
        <w:rPr>
          <w:rFonts w:hint="eastAsia" w:ascii="仿宋_GB2312" w:eastAsia="仿宋_GB2312"/>
          <w:color w:val="auto"/>
          <w:sz w:val="32"/>
          <w:szCs w:val="32"/>
        </w:rPr>
        <w:t>。</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）卫生健康（类）支出</w:t>
      </w:r>
      <w:r>
        <w:rPr>
          <w:rFonts w:hint="eastAsia" w:ascii="仿宋_GB2312" w:hAnsi="仿宋_GB2312" w:eastAsia="仿宋_GB2312" w:cs="仿宋_GB2312"/>
          <w:sz w:val="32"/>
          <w:szCs w:val="32"/>
          <w:lang w:val="en-US" w:eastAsia="zh-CN"/>
        </w:rPr>
        <w:t>7.79万元，主要用于机关在职人员医疗保险公补缴费。</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减少4.15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下降34.76</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val="en-US" w:eastAsia="zh-CN"/>
        </w:rPr>
        <w:t>2024年行政事业单位医疗预算是1.5年，2025年是1年，导致</w:t>
      </w:r>
      <w:r>
        <w:rPr>
          <w:rFonts w:hint="eastAsia" w:ascii="仿宋_GB2312" w:hAnsi="仿宋_GB2312" w:eastAsia="仿宋_GB2312" w:cs="仿宋_GB2312"/>
          <w:sz w:val="32"/>
          <w:szCs w:val="32"/>
          <w:lang w:val="en-US" w:eastAsia="zh-CN"/>
        </w:rPr>
        <w:t>医疗保险缴费减少</w:t>
      </w:r>
      <w:r>
        <w:rPr>
          <w:rFonts w:hint="eastAsia" w:ascii="仿宋_GB2312" w:eastAsia="仿宋_GB2312"/>
          <w:color w:val="auto"/>
          <w:sz w:val="32"/>
          <w:szCs w:val="32"/>
        </w:rPr>
        <w:t>。</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（4）住房保障（类）支出18.55万元，主要用于机关在职人员住房公积金公补缴费。</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减少0.39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下降2.06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eastAsia="zh-CN"/>
        </w:rPr>
        <w:t>人员</w:t>
      </w:r>
      <w:r>
        <w:rPr>
          <w:rFonts w:hint="eastAsia" w:ascii="仿宋_GB2312" w:eastAsia="仿宋_GB2312"/>
          <w:color w:val="auto"/>
          <w:sz w:val="32"/>
          <w:szCs w:val="32"/>
          <w:lang w:val="en-US" w:eastAsia="zh-CN"/>
        </w:rPr>
        <w:t>调整</w:t>
      </w:r>
      <w:r>
        <w:rPr>
          <w:rFonts w:hint="eastAsia" w:ascii="仿宋_GB2312" w:eastAsia="仿宋_GB2312"/>
          <w:color w:val="auto"/>
          <w:sz w:val="32"/>
          <w:szCs w:val="32"/>
          <w:lang w:eastAsia="zh-CN"/>
        </w:rPr>
        <w:t>和工资调资导致住房公积金公补缴费</w:t>
      </w:r>
      <w:r>
        <w:rPr>
          <w:rFonts w:hint="eastAsia" w:ascii="仿宋_GB2312" w:eastAsia="仿宋_GB2312"/>
          <w:color w:val="auto"/>
          <w:sz w:val="32"/>
          <w:szCs w:val="32"/>
          <w:lang w:val="en-US" w:eastAsia="zh-CN"/>
        </w:rPr>
        <w:t>减少</w:t>
      </w:r>
      <w:r>
        <w:rPr>
          <w:rFonts w:hint="eastAsia" w:ascii="仿宋_GB2312" w:eastAsia="仿宋_GB2312"/>
          <w:color w:val="auto"/>
          <w:sz w:val="32"/>
          <w:szCs w:val="32"/>
          <w:lang w:eastAsia="zh-CN"/>
        </w:rPr>
        <w:t>。</w:t>
      </w:r>
    </w:p>
    <w:p>
      <w:pPr>
        <w:keepNext w:val="0"/>
        <w:keepLines w:val="0"/>
        <w:pageBreakBefore w:val="0"/>
        <w:widowControl/>
        <w:wordWrap/>
        <w:overflowPunct/>
        <w:topLinePunct w:val="0"/>
        <w:bidi w:val="0"/>
        <w:adjustRightInd w:val="0"/>
        <w:snapToGrid w:val="0"/>
        <w:spacing w:line="560" w:lineRule="exact"/>
        <w:ind w:left="63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2．年</w:t>
      </w:r>
      <w:r>
        <w:rPr>
          <w:rFonts w:hint="eastAsia" w:ascii="仿宋_GB2312" w:hAnsi="仿宋_GB2312" w:eastAsia="仿宋_GB2312" w:cs="仿宋_GB2312"/>
          <w:spacing w:val="-7"/>
          <w:sz w:val="32"/>
          <w:szCs w:val="32"/>
        </w:rPr>
        <w:t>终</w:t>
      </w:r>
      <w:r>
        <w:rPr>
          <w:rFonts w:hint="eastAsia" w:ascii="仿宋_GB2312" w:hAnsi="仿宋_GB2312" w:eastAsia="仿宋_GB2312" w:cs="仿宋_GB2312"/>
          <w:spacing w:val="-4"/>
          <w:sz w:val="32"/>
          <w:szCs w:val="32"/>
        </w:rPr>
        <w:t>结转结余</w:t>
      </w:r>
      <w:r>
        <w:rPr>
          <w:rFonts w:hint="eastAsia" w:ascii="仿宋_GB2312" w:hAnsi="仿宋_GB2312" w:eastAsia="仿宋_GB2312" w:cs="仿宋_GB2312"/>
          <w:spacing w:val="-4"/>
          <w:sz w:val="32"/>
          <w:szCs w:val="32"/>
          <w:u w:val="single" w:color="auto"/>
          <w:lang w:val="en-US" w:eastAsia="zh-CN"/>
        </w:rPr>
        <w:t>0</w:t>
      </w:r>
      <w:r>
        <w:rPr>
          <w:rFonts w:hint="eastAsia" w:ascii="仿宋_GB2312" w:hAnsi="仿宋_GB2312" w:eastAsia="仿宋_GB2312" w:cs="仿宋_GB2312"/>
          <w:spacing w:val="-4"/>
          <w:sz w:val="32"/>
          <w:szCs w:val="32"/>
        </w:rPr>
        <w:t>万元，主要原因是</w:t>
      </w:r>
      <w:r>
        <w:rPr>
          <w:rFonts w:hint="eastAsia" w:ascii="仿宋_GB2312" w:hAnsi="仿宋_GB2312" w:eastAsia="仿宋_GB2312" w:cs="仿宋_GB2312"/>
          <w:spacing w:val="-4"/>
          <w:sz w:val="32"/>
          <w:szCs w:val="32"/>
          <w:lang w:eastAsia="zh-CN"/>
        </w:rPr>
        <w:t>不存在此项内容</w:t>
      </w:r>
      <w:r>
        <w:rPr>
          <w:rFonts w:hint="eastAsia" w:ascii="仿宋_GB2312" w:hAnsi="仿宋_GB2312" w:eastAsia="仿宋_GB2312" w:cs="仿宋_GB2312"/>
          <w:spacing w:val="-4"/>
          <w:sz w:val="32"/>
          <w:szCs w:val="32"/>
        </w:rPr>
        <w:t>。</w:t>
      </w:r>
    </w:p>
    <w:p>
      <w:pPr>
        <w:keepNext w:val="0"/>
        <w:keepLines w:val="0"/>
        <w:pageBreakBefore w:val="0"/>
        <w:widowControl/>
        <w:wordWrap/>
        <w:overflowPunct/>
        <w:topLinePunct w:val="0"/>
        <w:bidi w:val="0"/>
        <w:adjustRightInd w:val="0"/>
        <w:snapToGrid w:val="0"/>
        <w:spacing w:line="560" w:lineRule="exact"/>
        <w:ind w:left="648"/>
        <w:outlineLvl w:val="2"/>
        <w:rPr>
          <w:rFonts w:ascii="黑体" w:hAnsi="黑体" w:eastAsia="黑体" w:cs="黑体"/>
          <w:sz w:val="32"/>
          <w:szCs w:val="32"/>
        </w:rPr>
      </w:pPr>
      <w:r>
        <w:rPr>
          <w:rFonts w:ascii="黑体" w:hAnsi="黑体" w:eastAsia="黑体" w:cs="黑体"/>
          <w:spacing w:val="9"/>
          <w:position w:val="2"/>
          <w:sz w:val="32"/>
          <w:szCs w:val="32"/>
        </w:rPr>
        <w:t>二</w:t>
      </w:r>
      <w:r>
        <w:rPr>
          <w:rFonts w:ascii="黑体" w:hAnsi="黑体" w:eastAsia="黑体" w:cs="黑体"/>
          <w:spacing w:val="8"/>
          <w:position w:val="2"/>
          <w:sz w:val="32"/>
          <w:szCs w:val="32"/>
        </w:rPr>
        <w:t>、收入预算情况说明</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中共磴口县委员会机构编制委员会办公室2025年度收入预算总计224.43万元，包括本年收入224.43万元，上年结转结</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本年一般公共预算收入</w:t>
      </w:r>
      <w:r>
        <w:rPr>
          <w:rFonts w:hint="eastAsia" w:ascii="仿宋_GB2312" w:hAnsi="仿宋_GB2312" w:eastAsia="仿宋_GB2312" w:cs="仿宋_GB2312"/>
          <w:sz w:val="32"/>
          <w:szCs w:val="32"/>
          <w:lang w:val="en-US" w:eastAsia="zh-CN"/>
        </w:rPr>
        <w:t>224.43</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本年财政专户管理资金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本年事业单位经营收入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上年结转结余的一般公共预算收入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上年结转结余的财政专户管理资金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上年结转结余的单位资金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420" w:firstLineChars="200"/>
        <w:rPr>
          <w:rFonts w:hint="eastAsia" w:ascii="仿宋_GB2312" w:hAnsi="仿宋_GB2312" w:eastAsia="仿宋_GB2312" w:cs="仿宋_GB2312"/>
          <w:sz w:val="32"/>
          <w:szCs w:val="32"/>
          <w:lang w:eastAsia="zh-CN"/>
        </w:rPr>
      </w:pPr>
      <w:r>
        <w:drawing>
          <wp:anchor distT="0" distB="0" distL="114300" distR="114300" simplePos="0" relativeHeight="251659264" behindDoc="0" locked="0" layoutInCell="1" allowOverlap="1">
            <wp:simplePos x="0" y="0"/>
            <wp:positionH relativeFrom="column">
              <wp:posOffset>575945</wp:posOffset>
            </wp:positionH>
            <wp:positionV relativeFrom="paragraph">
              <wp:posOffset>342900</wp:posOffset>
            </wp:positionV>
            <wp:extent cx="4572000" cy="2743200"/>
            <wp:effectExtent l="4445" t="4445" r="1460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3"/>
        <w:rPr>
          <w:rFonts w:hint="eastAsia"/>
          <w:sz w:val="32"/>
          <w:szCs w:val="32"/>
          <w:lang w:eastAsia="zh-CN"/>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8"/>
          <w:sz w:val="32"/>
          <w:szCs w:val="32"/>
        </w:rPr>
        <w:t>三、支出预算情况说明</w:t>
      </w:r>
    </w:p>
    <w:p>
      <w:pPr>
        <w:numPr>
          <w:ilvl w:val="0"/>
          <w:numId w:val="0"/>
        </w:num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中共磴口县委员会机构编制委员会办公室2025年度支出预算合计224.43万元，其中：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基本支出219.43万元，占97.77%；</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项目支出5万元，占2.23%；</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事业单位经营支出0万元，占0%；</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上缴上级支出0万元，占0%；</w:t>
      </w:r>
    </w:p>
    <w:p>
      <w:pPr>
        <w:numPr>
          <w:ilvl w:val="0"/>
          <w:numId w:val="0"/>
        </w:numPr>
        <w:adjustRightInd w:val="0"/>
        <w:snapToGrid w:val="0"/>
        <w:spacing w:line="560" w:lineRule="exact"/>
        <w:ind w:firstLine="640" w:firstLineChars="200"/>
        <w:rPr>
          <w:rFonts w:ascii="黑体" w:hAnsi="黑体" w:eastAsia="黑体" w:cs="黑体"/>
          <w:spacing w:val="8"/>
          <w:sz w:val="32"/>
          <w:szCs w:val="32"/>
        </w:rPr>
      </w:pPr>
      <w:r>
        <w:rPr>
          <w:rFonts w:hint="eastAsia" w:ascii="仿宋_GB2312" w:hAnsi="仿宋_GB2312" w:eastAsia="仿宋_GB2312" w:cs="仿宋_GB2312"/>
          <w:sz w:val="32"/>
          <w:szCs w:val="32"/>
          <w:lang w:val="en-US" w:eastAsia="zh-CN"/>
        </w:rPr>
        <w:t>对附属单位补助支出0万元，占0%；</w:t>
      </w: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pStyle w:val="2"/>
        <w:rPr>
          <w:rFonts w:hint="eastAsia" w:eastAsia="黑体"/>
          <w:lang w:eastAsia="zh-CN"/>
        </w:rPr>
      </w:pPr>
      <w:r>
        <w:rPr>
          <w:rFonts w:hint="eastAsia" w:eastAsia="黑体"/>
          <w:lang w:eastAsia="zh-CN"/>
        </w:rPr>
        <w:drawing>
          <wp:inline distT="0" distB="0" distL="114300" distR="114300">
            <wp:extent cx="5290185" cy="2771140"/>
            <wp:effectExtent l="4445" t="4445" r="2032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z w:val="32"/>
          <w:szCs w:val="32"/>
        </w:rPr>
      </w:pPr>
      <w:r>
        <w:rPr>
          <w:rFonts w:ascii="黑体" w:hAnsi="黑体" w:eastAsia="黑体" w:cs="黑体"/>
          <w:spacing w:val="8"/>
          <w:sz w:val="32"/>
          <w:szCs w:val="32"/>
        </w:rPr>
        <w:t>四、财政拨款收支预算总体情况说</w:t>
      </w:r>
      <w:r>
        <w:rPr>
          <w:rFonts w:ascii="黑体" w:hAnsi="黑体" w:eastAsia="黑体" w:cs="黑体"/>
          <w:spacing w:val="7"/>
          <w:sz w:val="32"/>
          <w:szCs w:val="32"/>
        </w:rPr>
        <w:t>明</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ascii="仿宋" w:hAnsi="仿宋" w:eastAsia="仿宋" w:cs="仿宋"/>
          <w:spacing w:val="3"/>
          <w:sz w:val="32"/>
          <w:szCs w:val="32"/>
          <w:u w:val="none" w:color="auto"/>
        </w:rPr>
        <w:t>财政拨收、支总预</w:t>
      </w:r>
      <w:r>
        <w:rPr>
          <w:rFonts w:hint="eastAsia" w:ascii="仿宋" w:hAnsi="仿宋" w:eastAsia="仿宋" w:cs="仿宋"/>
          <w:spacing w:val="3"/>
          <w:sz w:val="32"/>
          <w:szCs w:val="32"/>
          <w:u w:val="none" w:color="auto"/>
          <w:lang w:val="en-US" w:eastAsia="zh-CN"/>
        </w:rPr>
        <w:t>224.43</w:t>
      </w:r>
      <w:r>
        <w:rPr>
          <w:rFonts w:ascii="仿宋" w:hAnsi="仿宋" w:eastAsia="仿宋" w:cs="仿宋"/>
          <w:spacing w:val="3"/>
          <w:sz w:val="32"/>
          <w:szCs w:val="32"/>
          <w:u w:val="none" w:color="auto"/>
        </w:rPr>
        <w:t>万元。</w:t>
      </w:r>
      <w:r>
        <w:rPr>
          <w:rFonts w:ascii="仿宋" w:hAnsi="仿宋" w:eastAsia="仿宋" w:cs="仿宋"/>
          <w:spacing w:val="10"/>
          <w:sz w:val="32"/>
          <w:szCs w:val="32"/>
          <w:u w:val="none" w:color="auto"/>
        </w:rPr>
        <w:t>与</w:t>
      </w:r>
      <w:r>
        <w:rPr>
          <w:rFonts w:ascii="仿宋" w:hAnsi="仿宋" w:eastAsia="仿宋" w:cs="仿宋"/>
          <w:spacing w:val="8"/>
          <w:sz w:val="32"/>
          <w:szCs w:val="32"/>
          <w:u w:val="none" w:color="auto"/>
        </w:rPr>
        <w:t>上</w:t>
      </w:r>
      <w:r>
        <w:rPr>
          <w:rFonts w:ascii="仿宋" w:hAnsi="仿宋" w:eastAsia="仿宋" w:cs="仿宋"/>
          <w:spacing w:val="5"/>
          <w:sz w:val="32"/>
          <w:szCs w:val="32"/>
          <w:u w:val="none" w:color="auto"/>
        </w:rPr>
        <w:t>年相比，财政拨款收</w:t>
      </w:r>
      <w:r>
        <w:rPr>
          <w:rFonts w:hint="eastAsia" w:ascii="仿宋" w:hAnsi="仿宋" w:eastAsia="仿宋" w:cs="仿宋"/>
          <w:spacing w:val="5"/>
          <w:sz w:val="32"/>
          <w:szCs w:val="32"/>
          <w:u w:val="none" w:color="auto"/>
          <w:lang w:eastAsia="zh-CN"/>
        </w:rPr>
        <w:t>、</w:t>
      </w:r>
      <w:r>
        <w:rPr>
          <w:rFonts w:ascii="仿宋" w:hAnsi="仿宋" w:eastAsia="仿宋" w:cs="仿宋"/>
          <w:spacing w:val="5"/>
          <w:sz w:val="32"/>
          <w:szCs w:val="32"/>
          <w:u w:val="none" w:color="auto"/>
        </w:rPr>
        <w:t>支总计各增加</w:t>
      </w:r>
      <w:r>
        <w:rPr>
          <w:rFonts w:hint="eastAsia" w:ascii="仿宋" w:hAnsi="仿宋" w:eastAsia="仿宋" w:cs="仿宋"/>
          <w:spacing w:val="5"/>
          <w:sz w:val="32"/>
          <w:szCs w:val="32"/>
          <w:u w:val="none" w:color="auto"/>
          <w:lang w:val="en-US" w:eastAsia="zh-CN"/>
        </w:rPr>
        <w:t>8.74</w:t>
      </w:r>
      <w:r>
        <w:rPr>
          <w:rFonts w:ascii="仿宋" w:hAnsi="仿宋" w:eastAsia="仿宋" w:cs="仿宋"/>
          <w:spacing w:val="5"/>
          <w:sz w:val="32"/>
          <w:szCs w:val="32"/>
          <w:u w:val="none" w:color="auto"/>
        </w:rPr>
        <w:t>万元，</w:t>
      </w:r>
      <w:r>
        <w:rPr>
          <w:rFonts w:hint="eastAsia" w:ascii="仿宋_GB2312" w:hAnsi="仿宋_GB2312" w:eastAsia="仿宋_GB2312" w:cs="仿宋_GB2312"/>
          <w:spacing w:val="5"/>
          <w:sz w:val="32"/>
          <w:szCs w:val="32"/>
          <w:u w:val="none" w:color="auto"/>
        </w:rPr>
        <w:t>增</w:t>
      </w:r>
      <w:r>
        <w:rPr>
          <w:rFonts w:hint="eastAsia" w:ascii="仿宋_GB2312" w:hAnsi="仿宋_GB2312" w:eastAsia="仿宋_GB2312" w:cs="仿宋_GB2312"/>
          <w:spacing w:val="-9"/>
          <w:sz w:val="32"/>
          <w:szCs w:val="32"/>
          <w:u w:val="none" w:color="auto"/>
        </w:rPr>
        <w:t>长</w:t>
      </w:r>
      <w:r>
        <w:rPr>
          <w:rFonts w:hint="eastAsia" w:ascii="仿宋_GB2312" w:hAnsi="仿宋_GB2312" w:eastAsia="仿宋_GB2312" w:cs="仿宋_GB2312"/>
          <w:spacing w:val="-7"/>
          <w:sz w:val="32"/>
          <w:szCs w:val="32"/>
          <w:u w:val="none" w:color="auto"/>
          <w:lang w:val="en-US" w:eastAsia="zh-CN"/>
        </w:rPr>
        <w:t>4.05</w:t>
      </w:r>
      <w:r>
        <w:rPr>
          <w:rFonts w:hint="eastAsia" w:ascii="仿宋_GB2312" w:hAnsi="仿宋_GB2312" w:eastAsia="仿宋_GB2312" w:cs="仿宋_GB2312"/>
          <w:spacing w:val="-7"/>
          <w:sz w:val="32"/>
          <w:szCs w:val="32"/>
          <w:u w:val="none" w:color="auto"/>
        </w:rPr>
        <w:t>%</w:t>
      </w:r>
      <w:r>
        <w:rPr>
          <w:rFonts w:ascii="仿宋" w:hAnsi="仿宋" w:eastAsia="仿宋" w:cs="仿宋"/>
          <w:spacing w:val="-7"/>
          <w:sz w:val="32"/>
          <w:szCs w:val="32"/>
          <w:u w:val="none" w:color="auto"/>
        </w:rPr>
        <w:t>。主要原因是</w:t>
      </w:r>
      <w:r>
        <w:rPr>
          <w:rFonts w:hint="eastAsia" w:ascii="仿宋" w:hAnsi="仿宋" w:eastAsia="仿宋" w:cs="仿宋"/>
          <w:spacing w:val="-7"/>
          <w:sz w:val="32"/>
          <w:szCs w:val="32"/>
          <w:u w:val="none" w:color="auto"/>
          <w:lang w:eastAsia="zh-CN"/>
        </w:rPr>
        <w:t>：</w:t>
      </w:r>
      <w:r>
        <w:rPr>
          <w:rFonts w:hint="eastAsia" w:ascii="仿宋" w:hAnsi="仿宋" w:eastAsia="仿宋" w:cs="仿宋"/>
          <w:sz w:val="32"/>
          <w:szCs w:val="32"/>
          <w:u w:val="none" w:color="auto"/>
          <w:lang w:eastAsia="zh-CN"/>
        </w:rPr>
        <w:t>一是</w:t>
      </w:r>
      <w:r>
        <w:rPr>
          <w:rFonts w:hint="eastAsia" w:ascii="仿宋" w:hAnsi="仿宋" w:eastAsia="仿宋" w:cs="仿宋"/>
          <w:sz w:val="32"/>
          <w:szCs w:val="32"/>
          <w:u w:val="none" w:color="auto"/>
          <w:lang w:val="en-US" w:eastAsia="zh-CN"/>
        </w:rPr>
        <w:t>2025年有1名退休人员，</w:t>
      </w:r>
      <w:r>
        <w:rPr>
          <w:rFonts w:hint="eastAsia" w:ascii="仿宋" w:hAnsi="仿宋" w:eastAsia="仿宋" w:cs="仿宋"/>
          <w:sz w:val="32"/>
          <w:szCs w:val="32"/>
          <w:lang w:val="en-US" w:eastAsia="zh-CN"/>
        </w:rPr>
        <w:t>职业年金的财政拨款收入增加</w:t>
      </w:r>
      <w:r>
        <w:rPr>
          <w:rFonts w:hint="eastAsia" w:ascii="仿宋" w:hAnsi="仿宋" w:eastAsia="仿宋" w:cs="仿宋"/>
          <w:sz w:val="32"/>
          <w:szCs w:val="32"/>
          <w:u w:val="none" w:color="auto"/>
          <w:lang w:val="en-US" w:eastAsia="zh-CN"/>
        </w:rPr>
        <w:t>；二是人员工资调资和社会保险水平提高，财政拨款收入增加</w:t>
      </w:r>
      <w:r>
        <w:rPr>
          <w:rFonts w:hint="eastAsia" w:ascii="仿宋" w:hAnsi="仿宋" w:eastAsia="仿宋" w:cs="仿宋"/>
          <w:sz w:val="32"/>
          <w:szCs w:val="32"/>
          <w:u w:val="none" w:color="auto"/>
        </w:rPr>
        <w:t>。</w:t>
      </w:r>
    </w:p>
    <w:p>
      <w:pPr>
        <w:keepNext w:val="0"/>
        <w:keepLines w:val="0"/>
        <w:pageBreakBefore w:val="0"/>
        <w:widowControl/>
        <w:wordWrap/>
        <w:overflowPunct/>
        <w:topLinePunct w:val="0"/>
        <w:bidi w:val="0"/>
        <w:adjustRightInd w:val="0"/>
        <w:snapToGrid w:val="0"/>
        <w:spacing w:line="560" w:lineRule="exact"/>
        <w:ind w:left="643"/>
        <w:outlineLvl w:val="2"/>
        <w:rPr>
          <w:rFonts w:ascii="黑体" w:hAnsi="黑体" w:eastAsia="黑体" w:cs="黑体"/>
          <w:spacing w:val="16"/>
          <w:sz w:val="32"/>
          <w:szCs w:val="32"/>
        </w:rPr>
      </w:pPr>
    </w:p>
    <w:p>
      <w:pPr>
        <w:keepNext w:val="0"/>
        <w:keepLines w:val="0"/>
        <w:pageBreakBefore w:val="0"/>
        <w:widowControl/>
        <w:wordWrap/>
        <w:overflowPunct/>
        <w:topLinePunct w:val="0"/>
        <w:bidi w:val="0"/>
        <w:adjustRightInd w:val="0"/>
        <w:snapToGrid w:val="0"/>
        <w:spacing w:line="560" w:lineRule="exact"/>
        <w:ind w:left="643"/>
        <w:outlineLvl w:val="2"/>
        <w:rPr>
          <w:rFonts w:ascii="黑体" w:hAnsi="黑体" w:eastAsia="黑体" w:cs="黑体"/>
          <w:sz w:val="32"/>
          <w:szCs w:val="32"/>
        </w:rPr>
      </w:pPr>
      <w:r>
        <w:rPr>
          <w:rFonts w:ascii="黑体" w:hAnsi="黑体" w:eastAsia="黑体" w:cs="黑体"/>
          <w:spacing w:val="16"/>
          <w:sz w:val="32"/>
          <w:szCs w:val="32"/>
        </w:rPr>
        <w:t>五</w:t>
      </w:r>
      <w:r>
        <w:rPr>
          <w:rFonts w:ascii="黑体" w:hAnsi="黑体" w:eastAsia="黑体" w:cs="黑体"/>
          <w:spacing w:val="9"/>
          <w:sz w:val="32"/>
          <w:szCs w:val="32"/>
        </w:rPr>
        <w:t>、</w:t>
      </w:r>
      <w:r>
        <w:rPr>
          <w:rFonts w:ascii="黑体" w:hAnsi="黑体" w:eastAsia="黑体" w:cs="黑体"/>
          <w:spacing w:val="8"/>
          <w:sz w:val="32"/>
          <w:szCs w:val="32"/>
        </w:rPr>
        <w:t>一般公共预算支出预算情况说明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中共磴口县委员会机构编制委员会办公室2025年度一般公共预算财政拨款支出预算224.43万元，与上年相比增加8.74万元，增长4.05%。具体情况如下：</w:t>
      </w:r>
    </w:p>
    <w:p>
      <w:pPr>
        <w:ind w:firstLine="708" w:firstLineChars="200"/>
        <w:rPr>
          <w:rFonts w:ascii="楷体" w:hAnsi="楷体" w:eastAsia="楷体" w:cs="楷体"/>
          <w:spacing w:val="17"/>
          <w:sz w:val="32"/>
          <w:szCs w:val="32"/>
          <w14:textOutline w14:w="5793" w14:cap="sq" w14:cmpd="sng">
            <w14:solidFill>
              <w14:srgbClr w14:val="000000"/>
            </w14:solidFill>
            <w14:prstDash w14:val="solid"/>
            <w14:bevel/>
          </w14:textOutline>
        </w:rPr>
      </w:pPr>
      <w:r>
        <w:rPr>
          <w:rFonts w:hint="eastAsia" w:ascii="楷体" w:hAnsi="楷体" w:eastAsia="楷体" w:cs="楷体"/>
          <w:spacing w:val="17"/>
          <w:sz w:val="32"/>
          <w:szCs w:val="32"/>
          <w:lang w:eastAsia="zh-CN"/>
          <w14:textOutline w14:w="5793" w14:cap="sq" w14:cmpd="sng">
            <w14:solidFill>
              <w14:srgbClr w14:val="000000"/>
            </w14:solidFill>
            <w14:prstDash w14:val="solid"/>
            <w14:bevel/>
          </w14:textOutline>
        </w:rPr>
        <w:t>（一）</w:t>
      </w:r>
      <w:r>
        <w:rPr>
          <w:rFonts w:ascii="楷体" w:hAnsi="楷体" w:eastAsia="楷体" w:cs="楷体"/>
          <w:spacing w:val="17"/>
          <w:sz w:val="32"/>
          <w:szCs w:val="32"/>
          <w14:textOutline w14:w="5793" w14:cap="sq" w14:cmpd="sng">
            <w14:solidFill>
              <w14:srgbClr w14:val="000000"/>
            </w14:solidFill>
            <w14:prstDash w14:val="solid"/>
            <w14:bevel/>
          </w14:textOutline>
        </w:rPr>
        <w:t>一般公共服务(类)</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一般公共服务类年初预算数为169.38万元，与上年相比增加6.28万元。</w:t>
      </w:r>
    </w:p>
    <w:p>
      <w:pPr>
        <w:keepNext w:val="0"/>
        <w:keepLines w:val="0"/>
        <w:pageBreakBefore w:val="0"/>
        <w:widowControl/>
        <w:wordWrap/>
        <w:overflowPunct/>
        <w:topLinePunct w:val="0"/>
        <w:bidi w:val="0"/>
        <w:adjustRightInd w:val="0"/>
        <w:snapToGrid w:val="0"/>
        <w:spacing w:line="560" w:lineRule="exact"/>
        <w:ind w:left="667"/>
        <w:rPr>
          <w:rFonts w:ascii="楷体" w:hAnsi="楷体" w:eastAsia="楷体" w:cs="楷体"/>
          <w:sz w:val="32"/>
          <w:szCs w:val="32"/>
        </w:rPr>
      </w:pPr>
      <w:r>
        <w:rPr>
          <w:rFonts w:ascii="楷体" w:hAnsi="楷体" w:eastAsia="楷体" w:cs="楷体"/>
          <w:spacing w:val="18"/>
          <w:sz w:val="32"/>
          <w:szCs w:val="32"/>
          <w14:textOutline w14:w="5793" w14:cap="sq" w14:cmpd="sng">
            <w14:solidFill>
              <w14:srgbClr w14:val="000000"/>
            </w14:solidFill>
            <w14:prstDash w14:val="solid"/>
            <w14:bevel/>
          </w14:textOutline>
        </w:rPr>
        <w:t>(二)</w:t>
      </w:r>
      <w:r>
        <w:rPr>
          <w:rFonts w:hint="eastAsia" w:ascii="楷体" w:hAnsi="楷体" w:eastAsia="楷体" w:cs="楷体"/>
          <w:spacing w:val="17"/>
          <w:sz w:val="32"/>
          <w:szCs w:val="32"/>
          <w:lang w:eastAsia="zh-CN"/>
          <w14:textOutline w14:w="5793" w14:cap="sq" w14:cmpd="sng">
            <w14:solidFill>
              <w14:srgbClr w14:val="000000"/>
            </w14:solidFill>
            <w14:prstDash w14:val="solid"/>
            <w14:bevel/>
          </w14:textOutline>
        </w:rPr>
        <w:t>社会保障和就业</w:t>
      </w:r>
      <w:r>
        <w:rPr>
          <w:rFonts w:ascii="楷体" w:hAnsi="楷体" w:eastAsia="楷体" w:cs="楷体"/>
          <w:spacing w:val="17"/>
          <w:sz w:val="32"/>
          <w:szCs w:val="32"/>
          <w14:textOutline w14:w="5793" w14:cap="sq" w14:cmpd="sng">
            <w14:solidFill>
              <w14:srgbClr w14:val="000000"/>
            </w14:solidFill>
            <w14:prstDash w14:val="solid"/>
            <w14:bevel/>
          </w14:textOutline>
        </w:rPr>
        <w:t>(类)</w:t>
      </w:r>
    </w:p>
    <w:p>
      <w:pPr>
        <w:keepNext w:val="0"/>
        <w:keepLines w:val="0"/>
        <w:pageBreakBefore w:val="0"/>
        <w:widowControl/>
        <w:wordWrap/>
        <w:overflowPunct/>
        <w:topLinePunct w:val="0"/>
        <w:bidi w:val="0"/>
        <w:adjustRightInd w:val="0"/>
        <w:snapToGrid w:val="0"/>
        <w:spacing w:line="560" w:lineRule="exact"/>
        <w:ind w:left="3" w:right="315" w:firstLine="637"/>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社会保障和就业</w:t>
      </w:r>
      <w:r>
        <w:rPr>
          <w:rFonts w:hint="eastAsia" w:ascii="仿宋_GB2312" w:hAnsi="仿宋_GB2312" w:eastAsia="仿宋_GB2312" w:cs="仿宋_GB2312"/>
          <w:spacing w:val="11"/>
          <w:sz w:val="32"/>
          <w:szCs w:val="32"/>
        </w:rPr>
        <w:t>类年初预算数为</w:t>
      </w:r>
      <w:r>
        <w:rPr>
          <w:rFonts w:hint="eastAsia" w:ascii="仿宋_GB2312" w:hAnsi="仿宋_GB2312" w:eastAsia="仿宋_GB2312" w:cs="仿宋_GB2312"/>
          <w:spacing w:val="11"/>
          <w:sz w:val="32"/>
          <w:szCs w:val="32"/>
          <w:u w:val="none" w:color="auto"/>
          <w:lang w:val="en-US" w:eastAsia="zh-CN"/>
        </w:rPr>
        <w:t>28.70</w:t>
      </w:r>
      <w:r>
        <w:rPr>
          <w:rFonts w:hint="eastAsia" w:ascii="仿宋_GB2312" w:hAnsi="仿宋_GB2312" w:eastAsia="仿宋_GB2312" w:cs="仿宋_GB2312"/>
          <w:spacing w:val="11"/>
          <w:sz w:val="32"/>
          <w:szCs w:val="32"/>
        </w:rPr>
        <w:t>万元，与上年相比增加</w:t>
      </w:r>
      <w:r>
        <w:rPr>
          <w:rFonts w:hint="eastAsia" w:ascii="仿宋_GB2312" w:hAnsi="仿宋_GB2312" w:eastAsia="仿宋_GB2312" w:cs="仿宋_GB2312"/>
          <w:spacing w:val="11"/>
          <w:sz w:val="32"/>
          <w:szCs w:val="32"/>
          <w:lang w:val="en-US" w:eastAsia="zh-CN"/>
        </w:rPr>
        <w:t>7</w:t>
      </w:r>
      <w:r>
        <w:rPr>
          <w:rFonts w:hint="eastAsia" w:ascii="仿宋_GB2312" w:hAnsi="仿宋_GB2312" w:eastAsia="仿宋_GB2312" w:cs="仿宋_GB2312"/>
          <w:spacing w:val="-5"/>
          <w:sz w:val="32"/>
          <w:szCs w:val="32"/>
        </w:rPr>
        <w:t>万元。其中：</w:t>
      </w:r>
    </w:p>
    <w:p>
      <w:pPr>
        <w:numPr>
          <w:ilvl w:val="0"/>
          <w:numId w:val="0"/>
        </w:numPr>
        <w:adjustRightInd w:val="0"/>
        <w:snapToGrid w:val="0"/>
        <w:spacing w:line="560" w:lineRule="exact"/>
        <w:ind w:firstLine="636"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b w:val="0"/>
          <w:bCs w:val="0"/>
          <w:color w:val="auto"/>
          <w:sz w:val="32"/>
          <w:szCs w:val="32"/>
        </w:rPr>
        <w:t>行政事业单位养老支出（款）行政单位离退休（项）：财政拨款预算数为</w:t>
      </w:r>
      <w:r>
        <w:rPr>
          <w:rFonts w:hint="eastAsia" w:ascii="仿宋_GB2312" w:hAnsi="仿宋_GB2312" w:eastAsia="仿宋_GB2312" w:cs="仿宋_GB2312"/>
          <w:b w:val="0"/>
          <w:bCs w:val="0"/>
          <w:color w:val="auto"/>
          <w:sz w:val="32"/>
          <w:szCs w:val="32"/>
          <w:lang w:val="en-US" w:eastAsia="zh-CN"/>
        </w:rPr>
        <w:t>2.46</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lang w:val="en-US" w:eastAsia="zh-CN"/>
        </w:rPr>
        <w:t>无增减变化。</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行政事业单位养老支出（款）</w:t>
      </w:r>
      <w:r>
        <w:rPr>
          <w:rFonts w:hint="eastAsia" w:ascii="仿宋_GB2312" w:hAnsi="仿宋_GB2312" w:eastAsia="仿宋_GB2312" w:cs="仿宋_GB2312"/>
          <w:b w:val="0"/>
          <w:bCs w:val="0"/>
          <w:color w:val="auto"/>
          <w:sz w:val="32"/>
          <w:szCs w:val="32"/>
          <w:lang w:eastAsia="zh-CN"/>
        </w:rPr>
        <w:t>机关事业单位基本养老保险缴费支出</w:t>
      </w:r>
      <w:r>
        <w:rPr>
          <w:rFonts w:hint="eastAsia" w:ascii="仿宋_GB2312" w:hAnsi="仿宋_GB2312" w:eastAsia="仿宋_GB2312" w:cs="仿宋_GB2312"/>
          <w:b w:val="0"/>
          <w:bCs w:val="0"/>
          <w:color w:val="auto"/>
          <w:sz w:val="32"/>
          <w:szCs w:val="32"/>
        </w:rPr>
        <w:t>（项）：财政拨款预算数为</w:t>
      </w:r>
      <w:r>
        <w:rPr>
          <w:rFonts w:hint="eastAsia" w:ascii="仿宋_GB2312" w:hAnsi="仿宋_GB2312" w:eastAsia="仿宋_GB2312" w:cs="仿宋_GB2312"/>
          <w:b w:val="0"/>
          <w:bCs w:val="0"/>
          <w:color w:val="auto"/>
          <w:sz w:val="32"/>
          <w:szCs w:val="32"/>
          <w:lang w:val="en-US" w:eastAsia="zh-CN"/>
        </w:rPr>
        <w:t>18.81</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rPr>
        <w:t>增加</w:t>
      </w:r>
      <w:r>
        <w:rPr>
          <w:rFonts w:hint="eastAsia" w:ascii="仿宋_GB2312" w:hAnsi="仿宋_GB2312" w:eastAsia="仿宋_GB2312" w:cs="仿宋_GB2312"/>
          <w:b w:val="0"/>
          <w:bCs w:val="0"/>
          <w:color w:val="auto"/>
          <w:sz w:val="32"/>
          <w:szCs w:val="32"/>
          <w:lang w:val="en-US" w:eastAsia="zh-CN"/>
        </w:rPr>
        <w:t>0.13</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pacing w:val="-1"/>
          <w:sz w:val="32"/>
          <w:szCs w:val="32"/>
        </w:rPr>
        <w:t>增长</w:t>
      </w:r>
      <w:r>
        <w:rPr>
          <w:rFonts w:hint="eastAsia" w:ascii="仿宋_GB2312" w:hAnsi="仿宋_GB2312" w:eastAsia="仿宋_GB2312" w:cs="仿宋_GB2312"/>
          <w:b w:val="0"/>
          <w:bCs w:val="0"/>
          <w:spacing w:val="-1"/>
          <w:sz w:val="32"/>
          <w:szCs w:val="32"/>
          <w:lang w:val="en-US" w:eastAsia="zh-CN"/>
        </w:rPr>
        <w:t>0.70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eastAsia="zh-CN"/>
        </w:rPr>
        <w:t>变动</w:t>
      </w:r>
      <w:r>
        <w:rPr>
          <w:rFonts w:hint="eastAsia" w:ascii="仿宋_GB2312" w:hAnsi="仿宋_GB2312" w:eastAsia="仿宋_GB2312" w:cs="仿宋_GB2312"/>
          <w:b w:val="0"/>
          <w:bCs w:val="0"/>
          <w:color w:val="auto"/>
          <w:sz w:val="32"/>
          <w:szCs w:val="32"/>
        </w:rPr>
        <w:t>原因是</w:t>
      </w:r>
      <w:r>
        <w:rPr>
          <w:rFonts w:hint="eastAsia" w:ascii="仿宋_GB2312" w:hAnsi="仿宋_GB2312" w:eastAsia="仿宋_GB2312" w:cs="仿宋_GB2312"/>
          <w:b w:val="0"/>
          <w:bCs w:val="0"/>
          <w:color w:val="auto"/>
          <w:sz w:val="32"/>
          <w:szCs w:val="32"/>
          <w:lang w:eastAsia="zh-CN"/>
        </w:rPr>
        <w:t>工资调资导致养老保险缴费增加</w:t>
      </w:r>
      <w:r>
        <w:rPr>
          <w:rFonts w:hint="eastAsia" w:ascii="仿宋_GB2312" w:hAnsi="仿宋_GB2312" w:eastAsia="仿宋_GB2312" w:cs="仿宋_GB2312"/>
          <w:b w:val="0"/>
          <w:bCs w:val="0"/>
          <w:color w:val="auto"/>
          <w:sz w:val="32"/>
          <w:szCs w:val="32"/>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3.其他社会保障和就业支出（款）其他社会保障和就业支出（项）：财政拨款预算数为0.64万元。</w:t>
      </w:r>
      <w:r>
        <w:rPr>
          <w:rFonts w:hint="eastAsia" w:ascii="仿宋_GB2312" w:hAnsi="仿宋_GB2312" w:eastAsia="仿宋_GB2312" w:cs="仿宋_GB2312"/>
          <w:sz w:val="32"/>
          <w:szCs w:val="32"/>
          <w:u w:val="none" w:color="auto"/>
          <w:lang w:val="en-US" w:eastAsia="zh-CN"/>
        </w:rPr>
        <w:t>与上年相比增加0.08万元，增长14.29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b w:val="0"/>
          <w:bCs w:val="0"/>
          <w:color w:val="auto"/>
          <w:sz w:val="32"/>
          <w:szCs w:val="32"/>
          <w:lang w:val="en-US" w:eastAsia="zh-CN"/>
        </w:rPr>
        <w:t>变动原因是人员调整和工资调资导致其他社会保障和就业费增加。</w:t>
      </w:r>
    </w:p>
    <w:p>
      <w:pPr>
        <w:keepNext w:val="0"/>
        <w:keepLines w:val="0"/>
        <w:pageBreakBefore w:val="0"/>
        <w:widowControl/>
        <w:wordWrap/>
        <w:overflowPunct/>
        <w:topLinePunct w:val="0"/>
        <w:bidi w:val="0"/>
        <w:adjustRightInd w:val="0"/>
        <w:snapToGrid w:val="0"/>
        <w:spacing w:line="560" w:lineRule="exact"/>
        <w:ind w:left="667"/>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pPr>
      <w:r>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t>（三）卫生健康（类）</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卫生健康类年初预算数为7.79万元，与上年相比减少4.15万元。其中：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行政事业单位医疗</w:t>
      </w:r>
      <w:r>
        <w:rPr>
          <w:rFonts w:hint="eastAsia" w:ascii="仿宋_GB2312" w:hAnsi="仿宋_GB2312" w:eastAsia="仿宋_GB2312" w:cs="仿宋_GB2312"/>
          <w:b w:val="0"/>
          <w:bCs w:val="0"/>
          <w:color w:val="auto"/>
          <w:sz w:val="32"/>
          <w:szCs w:val="32"/>
        </w:rPr>
        <w:t>（款）</w:t>
      </w:r>
      <w:r>
        <w:rPr>
          <w:rFonts w:hint="eastAsia" w:ascii="仿宋_GB2312" w:hAnsi="仿宋_GB2312" w:eastAsia="仿宋_GB2312" w:cs="仿宋_GB2312"/>
          <w:b w:val="0"/>
          <w:bCs w:val="0"/>
          <w:color w:val="auto"/>
          <w:sz w:val="32"/>
          <w:szCs w:val="32"/>
          <w:lang w:eastAsia="zh-CN"/>
        </w:rPr>
        <w:t>行政单位医疗</w:t>
      </w:r>
      <w:r>
        <w:rPr>
          <w:rFonts w:hint="eastAsia" w:ascii="仿宋_GB2312" w:hAnsi="仿宋_GB2312" w:eastAsia="仿宋_GB2312" w:cs="仿宋_GB2312"/>
          <w:b w:val="0"/>
          <w:bCs w:val="0"/>
          <w:color w:val="auto"/>
          <w:sz w:val="32"/>
          <w:szCs w:val="32"/>
        </w:rPr>
        <w:t>（项）：财政拨款预算数为</w:t>
      </w:r>
      <w:r>
        <w:rPr>
          <w:rFonts w:hint="eastAsia" w:ascii="仿宋_GB2312" w:hAnsi="仿宋_GB2312" w:eastAsia="仿宋_GB2312" w:cs="仿宋_GB2312"/>
          <w:spacing w:val="11"/>
          <w:sz w:val="32"/>
          <w:szCs w:val="32"/>
          <w:u w:val="none" w:color="auto"/>
          <w:lang w:val="en-US" w:eastAsia="zh-CN"/>
        </w:rPr>
        <w:t>7.79</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spacing w:val="11"/>
          <w:sz w:val="32"/>
          <w:szCs w:val="32"/>
          <w:lang w:val="en-US" w:eastAsia="zh-CN"/>
        </w:rPr>
        <w:t>减少4.15</w:t>
      </w:r>
      <w:r>
        <w:rPr>
          <w:rFonts w:hint="eastAsia" w:ascii="仿宋_GB2312" w:hAnsi="仿宋_GB2312" w:eastAsia="仿宋_GB2312" w:cs="仿宋_GB2312"/>
          <w:spacing w:val="-5"/>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下降</w:t>
      </w:r>
      <w:r>
        <w:rPr>
          <w:rFonts w:hint="eastAsia" w:ascii="仿宋_GB2312" w:hAnsi="仿宋_GB2312" w:eastAsia="仿宋_GB2312" w:cs="仿宋_GB2312"/>
          <w:b w:val="0"/>
          <w:bCs w:val="0"/>
          <w:spacing w:val="-1"/>
          <w:sz w:val="32"/>
          <w:szCs w:val="32"/>
          <w:lang w:val="en-US" w:eastAsia="zh-CN"/>
        </w:rPr>
        <w:t>34.76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val="en-US" w:eastAsia="zh-CN"/>
        </w:rPr>
        <w:t>2024年行政事业单位医疗保险公补预算是1.5年，2025年行政事业单位医疗保险公补预算是1年，导致</w:t>
      </w:r>
      <w:r>
        <w:rPr>
          <w:rFonts w:hint="eastAsia" w:ascii="仿宋_GB2312" w:hAnsi="仿宋_GB2312" w:eastAsia="仿宋_GB2312" w:cs="仿宋_GB2312"/>
          <w:sz w:val="32"/>
          <w:szCs w:val="32"/>
          <w:lang w:val="en-US" w:eastAsia="zh-CN"/>
        </w:rPr>
        <w:t>医疗保险公补缴费减少</w:t>
      </w:r>
      <w:r>
        <w:rPr>
          <w:rFonts w:hint="eastAsia" w:ascii="仿宋_GB2312" w:eastAsia="仿宋_GB2312"/>
          <w:color w:val="auto"/>
          <w:sz w:val="32"/>
          <w:szCs w:val="32"/>
        </w:rPr>
        <w:t>。</w:t>
      </w:r>
    </w:p>
    <w:p>
      <w:pPr>
        <w:keepNext w:val="0"/>
        <w:keepLines w:val="0"/>
        <w:pageBreakBefore w:val="0"/>
        <w:widowControl/>
        <w:wordWrap/>
        <w:overflowPunct/>
        <w:topLinePunct w:val="0"/>
        <w:bidi w:val="0"/>
        <w:adjustRightInd w:val="0"/>
        <w:snapToGrid w:val="0"/>
        <w:spacing w:line="560" w:lineRule="exact"/>
        <w:ind w:left="667"/>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pPr>
      <w:r>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t>（四）住房保障（类）</w:t>
      </w:r>
    </w:p>
    <w:p>
      <w:pPr>
        <w:keepNext w:val="0"/>
        <w:keepLines w:val="0"/>
        <w:pageBreakBefore w:val="0"/>
        <w:widowControl/>
        <w:wordWrap/>
        <w:overflowPunct/>
        <w:topLinePunct w:val="0"/>
        <w:bidi w:val="0"/>
        <w:adjustRightInd w:val="0"/>
        <w:snapToGrid w:val="0"/>
        <w:spacing w:line="560" w:lineRule="exact"/>
        <w:ind w:right="315" w:firstLine="684" w:firstLineChars="200"/>
        <w:rPr>
          <w:rFonts w:hint="eastAsia"/>
          <w:lang w:eastAsia="zh-CN"/>
        </w:rPr>
      </w:pPr>
      <w:r>
        <w:rPr>
          <w:rFonts w:hint="eastAsia" w:ascii="仿宋_GB2312" w:hAnsi="仿宋_GB2312" w:eastAsia="仿宋_GB2312" w:cs="仿宋_GB2312"/>
          <w:spacing w:val="11"/>
          <w:sz w:val="32"/>
          <w:szCs w:val="32"/>
          <w:lang w:eastAsia="zh-CN"/>
        </w:rPr>
        <w:t>住房保障</w:t>
      </w:r>
      <w:r>
        <w:rPr>
          <w:rFonts w:hint="eastAsia" w:ascii="仿宋_GB2312" w:hAnsi="仿宋_GB2312" w:eastAsia="仿宋_GB2312" w:cs="仿宋_GB2312"/>
          <w:spacing w:val="11"/>
          <w:sz w:val="32"/>
          <w:szCs w:val="32"/>
        </w:rPr>
        <w:t>类年初预算数为</w:t>
      </w:r>
      <w:r>
        <w:rPr>
          <w:rFonts w:hint="eastAsia" w:ascii="仿宋_GB2312" w:hAnsi="仿宋_GB2312" w:eastAsia="仿宋_GB2312" w:cs="仿宋_GB2312"/>
          <w:spacing w:val="11"/>
          <w:sz w:val="32"/>
          <w:szCs w:val="32"/>
          <w:lang w:val="en-US" w:eastAsia="zh-CN"/>
        </w:rPr>
        <w:t>18.55</w:t>
      </w:r>
      <w:r>
        <w:rPr>
          <w:rFonts w:hint="eastAsia" w:ascii="仿宋_GB2312" w:hAnsi="仿宋_GB2312" w:eastAsia="仿宋_GB2312" w:cs="仿宋_GB2312"/>
          <w:spacing w:val="11"/>
          <w:sz w:val="32"/>
          <w:szCs w:val="32"/>
        </w:rPr>
        <w:t>万元，与上年相比</w:t>
      </w:r>
      <w:r>
        <w:rPr>
          <w:rFonts w:hint="eastAsia" w:ascii="仿宋_GB2312" w:hAnsi="仿宋_GB2312" w:eastAsia="仿宋_GB2312" w:cs="仿宋_GB2312"/>
          <w:spacing w:val="11"/>
          <w:sz w:val="32"/>
          <w:szCs w:val="32"/>
          <w:lang w:val="en-US" w:eastAsia="zh-CN"/>
        </w:rPr>
        <w:t>减少0.39</w:t>
      </w:r>
      <w:r>
        <w:rPr>
          <w:rFonts w:hint="eastAsia" w:ascii="仿宋_GB2312" w:hAnsi="仿宋_GB2312" w:eastAsia="仿宋_GB2312" w:cs="仿宋_GB2312"/>
          <w:spacing w:val="-5"/>
          <w:sz w:val="32"/>
          <w:szCs w:val="32"/>
        </w:rPr>
        <w:t>万元。其中：</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val="en-US" w:eastAsia="zh-CN"/>
        </w:rPr>
        <w:t>1.住房改革支出（款）住房公积金（项）</w:t>
      </w:r>
      <w:r>
        <w:rPr>
          <w:rFonts w:hint="eastAsia" w:ascii="仿宋_GB2312" w:hAnsi="仿宋_GB2312" w:eastAsia="仿宋_GB2312" w:cs="仿宋_GB2312"/>
          <w:b w:val="0"/>
          <w:bCs w:val="0"/>
          <w:color w:val="auto"/>
          <w:sz w:val="32"/>
          <w:szCs w:val="32"/>
        </w:rPr>
        <w:t>：财政拨款预算数为</w:t>
      </w:r>
      <w:r>
        <w:rPr>
          <w:rFonts w:hint="eastAsia" w:ascii="仿宋_GB2312" w:hAnsi="仿宋_GB2312" w:eastAsia="仿宋_GB2312" w:cs="仿宋_GB2312"/>
          <w:b w:val="0"/>
          <w:bCs w:val="0"/>
          <w:color w:val="auto"/>
          <w:sz w:val="32"/>
          <w:szCs w:val="32"/>
          <w:lang w:val="en-US" w:eastAsia="zh-CN"/>
        </w:rPr>
        <w:t>18.55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lang w:val="en-US" w:eastAsia="zh-CN"/>
        </w:rPr>
        <w:t>减少0.39</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val="en-US" w:eastAsia="zh-CN"/>
        </w:rPr>
        <w:t>下降2.06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。变动</w:t>
      </w:r>
      <w:r>
        <w:rPr>
          <w:rFonts w:hint="eastAsia" w:ascii="仿宋_GB2312" w:hAnsi="仿宋_GB2312" w:eastAsia="仿宋_GB2312" w:cs="仿宋_GB2312"/>
          <w:b w:val="0"/>
          <w:bCs w:val="0"/>
          <w:color w:val="auto"/>
          <w:sz w:val="32"/>
          <w:szCs w:val="32"/>
        </w:rPr>
        <w:t>原因是</w:t>
      </w:r>
      <w:r>
        <w:rPr>
          <w:rFonts w:hint="eastAsia" w:ascii="仿宋_GB2312" w:eastAsia="仿宋_GB2312"/>
          <w:color w:val="auto"/>
          <w:sz w:val="32"/>
          <w:szCs w:val="32"/>
          <w:lang w:eastAsia="zh-CN"/>
        </w:rPr>
        <w:t>人员</w:t>
      </w:r>
      <w:r>
        <w:rPr>
          <w:rFonts w:hint="eastAsia" w:ascii="仿宋_GB2312" w:eastAsia="仿宋_GB2312"/>
          <w:color w:val="auto"/>
          <w:sz w:val="32"/>
          <w:szCs w:val="32"/>
          <w:lang w:val="en-US" w:eastAsia="zh-CN"/>
        </w:rPr>
        <w:t>调整</w:t>
      </w:r>
      <w:r>
        <w:rPr>
          <w:rFonts w:hint="eastAsia" w:ascii="仿宋_GB2312" w:eastAsia="仿宋_GB2312"/>
          <w:color w:val="auto"/>
          <w:sz w:val="32"/>
          <w:szCs w:val="32"/>
          <w:lang w:eastAsia="zh-CN"/>
        </w:rPr>
        <w:t>和工资调资导致住房公积金公补缴费增加</w:t>
      </w:r>
      <w:r>
        <w:rPr>
          <w:rFonts w:hint="eastAsia" w:ascii="仿宋_GB2312" w:eastAsia="仿宋_GB2312"/>
          <w:color w:val="auto"/>
          <w:sz w:val="32"/>
          <w:szCs w:val="32"/>
        </w:rPr>
        <w:t>。</w:t>
      </w:r>
    </w:p>
    <w:p>
      <w:pPr>
        <w:keepNext w:val="0"/>
        <w:keepLines w:val="0"/>
        <w:pageBreakBefore w:val="0"/>
        <w:widowControl/>
        <w:wordWrap/>
        <w:overflowPunct/>
        <w:topLinePunct w:val="0"/>
        <w:bidi w:val="0"/>
        <w:adjustRightInd w:val="0"/>
        <w:snapToGrid w:val="0"/>
        <w:spacing w:line="560" w:lineRule="exact"/>
        <w:ind w:left="643"/>
        <w:outlineLvl w:val="2"/>
        <w:rPr>
          <w:rFonts w:hint="eastAsia" w:ascii="黑体" w:hAnsi="黑体" w:eastAsia="黑体" w:cs="黑体"/>
          <w:spacing w:val="8"/>
          <w:sz w:val="32"/>
          <w:szCs w:val="32"/>
        </w:rPr>
      </w:pPr>
      <w:r>
        <w:rPr>
          <w:rFonts w:hint="eastAsia" w:ascii="黑体" w:hAnsi="黑体" w:eastAsia="黑体" w:cs="黑体"/>
          <w:spacing w:val="8"/>
          <w:sz w:val="32"/>
          <w:szCs w:val="32"/>
        </w:rPr>
        <w:t>六、一般公共预算基本支出预算情况说明</w:t>
      </w:r>
    </w:p>
    <w:p>
      <w:pPr>
        <w:keepNext w:val="0"/>
        <w:keepLines w:val="0"/>
        <w:pageBreakBefore w:val="0"/>
        <w:widowControl/>
        <w:wordWrap/>
        <w:overflowPunct/>
        <w:topLinePunct w:val="0"/>
        <w:bidi w:val="0"/>
        <w:adjustRightInd w:val="0"/>
        <w:snapToGrid w:val="0"/>
        <w:spacing w:line="560" w:lineRule="exact"/>
        <w:ind w:left="21" w:right="315"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1"/>
          <w:sz w:val="32"/>
          <w:szCs w:val="32"/>
        </w:rPr>
        <w:t>一般公共预</w:t>
      </w:r>
      <w:r>
        <w:rPr>
          <w:rFonts w:hint="eastAsia" w:ascii="仿宋_GB2312" w:hAnsi="仿宋_GB2312" w:eastAsia="仿宋_GB2312" w:cs="仿宋_GB2312"/>
          <w:sz w:val="32"/>
          <w:szCs w:val="32"/>
        </w:rPr>
        <w:t>算财政拨款基本支出预算</w:t>
      </w:r>
      <w:r>
        <w:rPr>
          <w:rFonts w:hint="eastAsia" w:ascii="仿宋_GB2312" w:hAnsi="仿宋_GB2312" w:eastAsia="仿宋_GB2312" w:cs="仿宋_GB2312"/>
          <w:sz w:val="32"/>
          <w:szCs w:val="32"/>
          <w:lang w:val="en-US" w:eastAsia="zh-CN"/>
        </w:rPr>
        <w:t>224.43</w:t>
      </w:r>
      <w:r>
        <w:rPr>
          <w:rFonts w:hint="eastAsia" w:ascii="仿宋_GB2312" w:hAnsi="仿宋_GB2312" w:eastAsia="仿宋_GB2312" w:cs="仿宋_GB2312"/>
          <w:spacing w:val="3"/>
          <w:sz w:val="32"/>
          <w:szCs w:val="32"/>
        </w:rPr>
        <w:t>万元，其中：</w:t>
      </w:r>
    </w:p>
    <w:p>
      <w:pPr>
        <w:keepNext w:val="0"/>
        <w:keepLines w:val="0"/>
        <w:pageBreakBefore w:val="0"/>
        <w:widowControl/>
        <w:wordWrap/>
        <w:overflowPunct/>
        <w:topLinePunct w:val="0"/>
        <w:bidi w:val="0"/>
        <w:adjustRightInd w:val="0"/>
        <w:snapToGrid w:val="0"/>
        <w:spacing w:line="560" w:lineRule="exact"/>
        <w:ind w:left="3" w:right="218" w:firstLine="63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14:textOutline w14:w="5793" w14:cap="sq" w14:cmpd="sng">
            <w14:solidFill>
              <w14:srgbClr w14:val="000000"/>
            </w14:solidFill>
            <w14:prstDash w14:val="solid"/>
            <w14:bevel/>
          </w14:textOutline>
        </w:rPr>
        <w:t>一)人员经</w:t>
      </w:r>
      <w:r>
        <w:rPr>
          <w:rFonts w:hint="eastAsia" w:ascii="仿宋_GB2312" w:hAnsi="仿宋_GB2312" w:eastAsia="仿宋_GB2312" w:cs="仿宋_GB2312"/>
          <w:spacing w:val="-1"/>
          <w:sz w:val="32"/>
          <w:szCs w:val="32"/>
          <w:u w:val="none" w:color="auto"/>
          <w14:textOutline w14:w="5793" w14:cap="sq" w14:cmpd="sng">
            <w14:solidFill>
              <w14:srgbClr w14:val="000000"/>
            </w14:solidFill>
            <w14:prstDash w14:val="solid"/>
            <w14:bevel/>
          </w14:textOutline>
        </w:rPr>
        <w:t>费</w:t>
      </w:r>
      <w:r>
        <w:rPr>
          <w:rFonts w:hint="eastAsia" w:ascii="仿宋_GB2312" w:hAnsi="仿宋_GB2312" w:eastAsia="仿宋_GB2312" w:cs="仿宋_GB2312"/>
          <w:spacing w:val="-1"/>
          <w:sz w:val="32"/>
          <w:szCs w:val="32"/>
          <w:u w:val="none" w:color="auto"/>
          <w:lang w:val="en-US" w:eastAsia="zh-CN"/>
        </w:rPr>
        <w:t>207.16</w:t>
      </w:r>
      <w:r>
        <w:rPr>
          <w:rFonts w:hint="eastAsia" w:ascii="仿宋_GB2312" w:hAnsi="仿宋_GB2312" w:eastAsia="仿宋_GB2312" w:cs="仿宋_GB2312"/>
          <w:spacing w:val="-1"/>
          <w:sz w:val="32"/>
          <w:szCs w:val="32"/>
          <w:u w:val="none" w:color="auto"/>
          <w14:textOutline w14:w="5793" w14:cap="sq" w14:cmpd="sng">
            <w14:solidFill>
              <w14:srgbClr w14:val="000000"/>
            </w14:solidFill>
            <w14:prstDash w14:val="solid"/>
            <w14:bevel/>
          </w14:textOutline>
        </w:rPr>
        <w:t>万元</w:t>
      </w:r>
      <w:r>
        <w:rPr>
          <w:rFonts w:hint="eastAsia" w:ascii="仿宋_GB2312" w:hAnsi="仿宋_GB2312" w:eastAsia="仿宋_GB2312" w:cs="仿宋_GB2312"/>
          <w:spacing w:val="-1"/>
          <w:sz w:val="32"/>
          <w:szCs w:val="32"/>
        </w:rPr>
        <w:t>。主要包括：基本工资</w:t>
      </w:r>
      <w:r>
        <w:rPr>
          <w:rFonts w:hint="eastAsia" w:ascii="仿宋_GB2312" w:hAnsi="仿宋_GB2312" w:eastAsia="仿宋_GB2312" w:cs="仿宋_GB2312"/>
          <w:spacing w:val="-1"/>
          <w:sz w:val="32"/>
          <w:szCs w:val="32"/>
          <w:lang w:val="en-US" w:eastAsia="zh-CN"/>
        </w:rPr>
        <w:t>62.78万元</w:t>
      </w:r>
      <w:r>
        <w:rPr>
          <w:rFonts w:hint="eastAsia" w:ascii="仿宋_GB2312" w:hAnsi="仿宋_GB2312" w:eastAsia="仿宋_GB2312" w:cs="仿宋_GB2312"/>
          <w:spacing w:val="-1"/>
          <w:sz w:val="32"/>
          <w:szCs w:val="32"/>
        </w:rPr>
        <w:t>、津贴补贴</w:t>
      </w:r>
      <w:r>
        <w:rPr>
          <w:rFonts w:hint="eastAsia" w:ascii="仿宋_GB2312" w:hAnsi="仿宋_GB2312" w:eastAsia="仿宋_GB2312" w:cs="仿宋_GB2312"/>
          <w:spacing w:val="-1"/>
          <w:sz w:val="32"/>
          <w:szCs w:val="32"/>
          <w:lang w:val="en-US" w:eastAsia="zh-CN"/>
        </w:rPr>
        <w:t>32.33万元</w:t>
      </w:r>
      <w:r>
        <w:rPr>
          <w:rFonts w:hint="eastAsia" w:ascii="仿宋_GB2312" w:hAnsi="仿宋_GB2312" w:eastAsia="仿宋_GB2312" w:cs="仿宋_GB2312"/>
          <w:spacing w:val="6"/>
          <w:sz w:val="32"/>
          <w:szCs w:val="32"/>
          <w:lang w:eastAsia="zh-CN"/>
        </w:rPr>
        <w:t>、奖金</w:t>
      </w:r>
      <w:r>
        <w:rPr>
          <w:rFonts w:hint="eastAsia" w:ascii="仿宋_GB2312" w:hAnsi="仿宋_GB2312" w:eastAsia="仿宋_GB2312" w:cs="仿宋_GB2312"/>
          <w:spacing w:val="6"/>
          <w:sz w:val="32"/>
          <w:szCs w:val="32"/>
          <w:lang w:val="en-US" w:eastAsia="zh-CN"/>
        </w:rPr>
        <w:t>13.86万元</w:t>
      </w:r>
      <w:r>
        <w:rPr>
          <w:rFonts w:hint="eastAsia" w:ascii="仿宋_GB2312" w:hAnsi="仿宋_GB2312" w:eastAsia="仿宋_GB2312" w:cs="仿宋_GB2312"/>
          <w:spacing w:val="6"/>
          <w:sz w:val="32"/>
          <w:szCs w:val="32"/>
          <w:lang w:eastAsia="zh-CN"/>
        </w:rPr>
        <w:t>、绩</w:t>
      </w:r>
      <w:r>
        <w:rPr>
          <w:rFonts w:hint="eastAsia" w:ascii="仿宋_GB2312" w:hAnsi="仿宋_GB2312" w:eastAsia="仿宋_GB2312" w:cs="仿宋_GB2312"/>
          <w:spacing w:val="6"/>
          <w:sz w:val="32"/>
          <w:szCs w:val="32"/>
        </w:rPr>
        <w:t>效工资</w:t>
      </w:r>
      <w:r>
        <w:rPr>
          <w:rFonts w:hint="eastAsia" w:ascii="仿宋_GB2312" w:hAnsi="仿宋_GB2312" w:eastAsia="仿宋_GB2312" w:cs="仿宋_GB2312"/>
          <w:spacing w:val="6"/>
          <w:sz w:val="32"/>
          <w:szCs w:val="32"/>
          <w:lang w:val="en-US" w:eastAsia="zh-CN"/>
        </w:rPr>
        <w:t>27.24万元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机关事业单位基本养老保险缴费</w:t>
      </w:r>
      <w:r>
        <w:rPr>
          <w:rFonts w:hint="eastAsia" w:ascii="仿宋_GB2312" w:hAnsi="仿宋_GB2312" w:eastAsia="仿宋_GB2312" w:cs="仿宋_GB2312"/>
          <w:spacing w:val="6"/>
          <w:sz w:val="32"/>
          <w:szCs w:val="32"/>
          <w:lang w:val="en-US" w:eastAsia="zh-CN"/>
        </w:rPr>
        <w:t>18.81万元</w:t>
      </w:r>
      <w:r>
        <w:rPr>
          <w:rFonts w:hint="eastAsia" w:ascii="仿宋_GB2312" w:hAnsi="仿宋_GB2312" w:eastAsia="仿宋_GB2312" w:cs="仿宋_GB2312"/>
          <w:spacing w:val="6"/>
          <w:sz w:val="32"/>
          <w:szCs w:val="32"/>
          <w:lang w:eastAsia="zh-CN"/>
        </w:rPr>
        <w:t>、职工基本医疗保险缴费</w:t>
      </w:r>
      <w:r>
        <w:rPr>
          <w:rFonts w:hint="eastAsia" w:ascii="仿宋_GB2312" w:hAnsi="仿宋_GB2312" w:eastAsia="仿宋_GB2312" w:cs="仿宋_GB2312"/>
          <w:spacing w:val="6"/>
          <w:sz w:val="32"/>
          <w:szCs w:val="32"/>
          <w:lang w:val="en-US" w:eastAsia="zh-CN"/>
        </w:rPr>
        <w:t>7.79万元</w:t>
      </w:r>
      <w:r>
        <w:rPr>
          <w:rFonts w:hint="eastAsia" w:ascii="仿宋_GB2312" w:hAnsi="仿宋_GB2312" w:eastAsia="仿宋_GB2312" w:cs="仿宋_GB2312"/>
          <w:spacing w:val="6"/>
          <w:sz w:val="32"/>
          <w:szCs w:val="32"/>
          <w:lang w:eastAsia="zh-CN"/>
        </w:rPr>
        <w:t>、其他社会保障缴费</w:t>
      </w:r>
      <w:r>
        <w:rPr>
          <w:rFonts w:hint="eastAsia" w:ascii="仿宋_GB2312" w:hAnsi="仿宋_GB2312" w:eastAsia="仿宋_GB2312" w:cs="仿宋_GB2312"/>
          <w:spacing w:val="6"/>
          <w:sz w:val="32"/>
          <w:szCs w:val="32"/>
          <w:lang w:val="en-US" w:eastAsia="zh-CN"/>
        </w:rPr>
        <w:t>0.64万元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住房公积金</w:t>
      </w:r>
      <w:r>
        <w:rPr>
          <w:rFonts w:hint="eastAsia" w:ascii="仿宋_GB2312" w:hAnsi="仿宋_GB2312" w:eastAsia="仿宋_GB2312" w:cs="仿宋_GB2312"/>
          <w:spacing w:val="6"/>
          <w:sz w:val="32"/>
          <w:szCs w:val="32"/>
          <w:lang w:val="en-US" w:eastAsia="zh-CN"/>
        </w:rPr>
        <w:t>18.55万元</w:t>
      </w:r>
      <w:r>
        <w:rPr>
          <w:rFonts w:hint="eastAsia" w:ascii="仿宋_GB2312" w:hAnsi="仿宋_GB2312" w:eastAsia="仿宋_GB2312" w:cs="仿宋_GB2312"/>
          <w:spacing w:val="6"/>
          <w:sz w:val="32"/>
          <w:szCs w:val="32"/>
        </w:rPr>
        <w:t>、其他</w:t>
      </w:r>
      <w:r>
        <w:rPr>
          <w:rFonts w:hint="eastAsia" w:ascii="仿宋_GB2312" w:hAnsi="仿宋_GB2312" w:eastAsia="仿宋_GB2312" w:cs="仿宋_GB2312"/>
          <w:spacing w:val="6"/>
          <w:sz w:val="32"/>
          <w:szCs w:val="32"/>
          <w:lang w:eastAsia="zh-CN"/>
        </w:rPr>
        <w:t>交通费</w:t>
      </w:r>
      <w:r>
        <w:rPr>
          <w:rFonts w:hint="eastAsia" w:ascii="仿宋_GB2312" w:hAnsi="仿宋_GB2312" w:eastAsia="仿宋_GB2312" w:cs="仿宋_GB2312"/>
          <w:spacing w:val="6"/>
          <w:sz w:val="32"/>
          <w:szCs w:val="32"/>
          <w:lang w:val="en-US" w:eastAsia="zh-CN"/>
        </w:rPr>
        <w:t>3.96万元</w:t>
      </w:r>
      <w:r>
        <w:rPr>
          <w:rFonts w:hint="eastAsia" w:ascii="仿宋_GB2312" w:hAnsi="仿宋_GB2312" w:eastAsia="仿宋_GB2312" w:cs="仿宋_GB2312"/>
          <w:spacing w:val="12"/>
          <w:sz w:val="32"/>
          <w:szCs w:val="32"/>
        </w:rPr>
        <w:t>、退休费</w:t>
      </w:r>
      <w:r>
        <w:rPr>
          <w:rFonts w:hint="eastAsia" w:ascii="仿宋_GB2312" w:hAnsi="仿宋_GB2312" w:eastAsia="仿宋_GB2312" w:cs="仿宋_GB2312"/>
          <w:spacing w:val="12"/>
          <w:sz w:val="32"/>
          <w:szCs w:val="32"/>
          <w:lang w:val="en-US" w:eastAsia="zh-CN"/>
        </w:rPr>
        <w:t>2.46万元。</w:t>
      </w:r>
    </w:p>
    <w:p>
      <w:pPr>
        <w:keepNext w:val="0"/>
        <w:keepLines w:val="0"/>
        <w:pageBreakBefore w:val="0"/>
        <w:widowControl/>
        <w:wordWrap/>
        <w:overflowPunct/>
        <w:topLinePunct w:val="0"/>
        <w:bidi w:val="0"/>
        <w:adjustRightInd w:val="0"/>
        <w:snapToGrid w:val="0"/>
        <w:spacing w:line="560" w:lineRule="exact"/>
        <w:ind w:right="155" w:firstLine="632"/>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pacing w:val="-4"/>
          <w:sz w:val="32"/>
          <w:szCs w:val="32"/>
          <w:highlight w:val="none"/>
          <w14:textOutline w14:w="5793" w14:cap="sq" w14:cmpd="sng">
            <w14:solidFill>
              <w14:srgbClr w14:val="000000"/>
            </w14:solidFill>
            <w14:prstDash w14:val="solid"/>
            <w14:bevel/>
          </w14:textOutline>
        </w:rPr>
        <w:t>(二)公用经费</w:t>
      </w:r>
      <w:r>
        <w:rPr>
          <w:rFonts w:hint="eastAsia" w:ascii="仿宋_GB2312" w:hAnsi="仿宋_GB2312" w:eastAsia="仿宋_GB2312" w:cs="仿宋_GB2312"/>
          <w:spacing w:val="-4"/>
          <w:sz w:val="32"/>
          <w:szCs w:val="32"/>
          <w:highlight w:val="none"/>
          <w:lang w:val="en-US" w:eastAsia="zh-CN"/>
          <w14:textOutline w14:w="5793" w14:cap="sq" w14:cmpd="sng">
            <w14:solidFill>
              <w14:srgbClr w14:val="000000"/>
            </w14:solidFill>
            <w14:prstDash w14:val="solid"/>
            <w14:bevel/>
          </w14:textOutline>
        </w:rPr>
        <w:t>9.81</w:t>
      </w:r>
      <w:r>
        <w:rPr>
          <w:rFonts w:hint="eastAsia" w:ascii="仿宋_GB2312" w:hAnsi="仿宋_GB2312" w:eastAsia="仿宋_GB2312" w:cs="仿宋_GB2312"/>
          <w:spacing w:val="-4"/>
          <w:sz w:val="32"/>
          <w:szCs w:val="32"/>
          <w:highlight w:val="none"/>
          <w14:textOutline w14:w="5793" w14:cap="sq" w14:cmpd="sng">
            <w14:solidFill>
              <w14:srgbClr w14:val="000000"/>
            </w14:solidFill>
            <w14:prstDash w14:val="solid"/>
            <w14:bevel/>
          </w14:textOutline>
        </w:rPr>
        <w:t>万元</w:t>
      </w:r>
      <w:r>
        <w:rPr>
          <w:rFonts w:hint="eastAsia" w:ascii="仿宋_GB2312" w:hAnsi="仿宋_GB2312" w:eastAsia="仿宋_GB2312" w:cs="仿宋_GB2312"/>
          <w:spacing w:val="-4"/>
          <w:sz w:val="32"/>
          <w:szCs w:val="32"/>
          <w:highlight w:val="none"/>
        </w:rPr>
        <w:t>。</w:t>
      </w:r>
      <w:r>
        <w:rPr>
          <w:rFonts w:hint="eastAsia" w:ascii="仿宋_GB2312" w:hAnsi="仿宋_GB2312" w:eastAsia="仿宋_GB2312" w:cs="仿宋_GB2312"/>
          <w:color w:val="000000" w:themeColor="text1"/>
          <w:spacing w:val="-4"/>
          <w:sz w:val="32"/>
          <w:szCs w:val="32"/>
          <w:highlight w:val="none"/>
          <w14:textFill>
            <w14:solidFill>
              <w14:schemeClr w14:val="tx1"/>
            </w14:solidFill>
          </w14:textFill>
        </w:rPr>
        <w:t>主要包括：</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办公费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1.76万元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、差旅费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0.40万元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、培训费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0.19万元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、公务接待费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0.30万元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、劳务费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1.02万元</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工会经费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0.75万元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福利费0.6万元、其他交通费用3.96万元、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办公设备购置</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0.83万元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w:t>
      </w:r>
    </w:p>
    <w:p>
      <w:pPr>
        <w:keepNext w:val="0"/>
        <w:keepLines w:val="0"/>
        <w:pageBreakBefore w:val="0"/>
        <w:widowControl/>
        <w:wordWrap/>
        <w:overflowPunct/>
        <w:topLinePunct w:val="0"/>
        <w:bidi w:val="0"/>
        <w:adjustRightInd w:val="0"/>
        <w:snapToGrid w:val="0"/>
        <w:spacing w:line="560" w:lineRule="exact"/>
        <w:ind w:left="643"/>
        <w:outlineLvl w:val="2"/>
        <w:rPr>
          <w:rFonts w:hint="eastAsia" w:ascii="黑体" w:hAnsi="黑体" w:eastAsia="黑体" w:cs="黑体"/>
          <w:spacing w:val="8"/>
          <w:sz w:val="32"/>
          <w:szCs w:val="32"/>
        </w:rPr>
      </w:pPr>
      <w:r>
        <w:rPr>
          <w:rFonts w:hint="eastAsia" w:ascii="黑体" w:hAnsi="黑体" w:eastAsia="黑体" w:cs="黑体"/>
          <w:spacing w:val="8"/>
          <w:sz w:val="32"/>
          <w:szCs w:val="32"/>
        </w:rPr>
        <w:t>七、一般公共预算“三公”经费支出预算情况说明</w:t>
      </w:r>
    </w:p>
    <w:p>
      <w:pPr>
        <w:keepNext w:val="0"/>
        <w:keepLines w:val="0"/>
        <w:pageBreakBefore w:val="0"/>
        <w:widowControl/>
        <w:wordWrap/>
        <w:overflowPunct/>
        <w:topLinePunct w:val="0"/>
        <w:bidi w:val="0"/>
        <w:adjustRightInd w:val="0"/>
        <w:snapToGrid w:val="0"/>
        <w:spacing w:line="560" w:lineRule="exact"/>
        <w:ind w:left="8" w:right="155" w:firstLine="632"/>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hint="eastAsia" w:ascii="仿宋_GB2312" w:hAnsi="仿宋_GB2312" w:eastAsia="仿宋_GB2312" w:cs="仿宋_GB2312"/>
          <w:spacing w:val="2"/>
          <w:sz w:val="32"/>
          <w:szCs w:val="32"/>
          <w:u w:val="none" w:color="auto"/>
        </w:rPr>
        <w:t>一般公共预算拨款安排的</w:t>
      </w:r>
      <w:r>
        <w:rPr>
          <w:rFonts w:hint="eastAsia" w:ascii="仿宋_GB2312" w:hAnsi="仿宋_GB2312" w:eastAsia="仿宋_GB2312" w:cs="仿宋_GB2312"/>
          <w:spacing w:val="1"/>
          <w:sz w:val="32"/>
          <w:szCs w:val="32"/>
          <w:u w:val="none" w:color="auto"/>
        </w:rPr>
        <w:t>“三公”经费</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pacing w:val="1"/>
          <w:sz w:val="32"/>
          <w:szCs w:val="32"/>
          <w:u w:val="none" w:color="auto"/>
        </w:rPr>
        <w:t>预算支出</w:t>
      </w:r>
      <w:r>
        <w:rPr>
          <w:rFonts w:hint="eastAsia" w:ascii="仿宋_GB2312" w:hAnsi="仿宋_GB2312" w:eastAsia="仿宋_GB2312" w:cs="仿宋_GB2312"/>
          <w:spacing w:val="1"/>
          <w:sz w:val="32"/>
          <w:szCs w:val="32"/>
          <w:u w:val="none" w:color="auto"/>
          <w:lang w:val="en-US" w:eastAsia="zh-CN"/>
        </w:rPr>
        <w:t>0.3</w:t>
      </w:r>
      <w:r>
        <w:rPr>
          <w:rFonts w:hint="eastAsia" w:ascii="仿宋_GB2312" w:hAnsi="仿宋_GB2312" w:eastAsia="仿宋_GB2312" w:cs="仿宋_GB2312"/>
          <w:spacing w:val="1"/>
          <w:sz w:val="32"/>
          <w:szCs w:val="32"/>
          <w:u w:val="none" w:color="auto"/>
        </w:rPr>
        <w:t>万元，其中因公出国 (境) 费支</w:t>
      </w:r>
      <w:r>
        <w:rPr>
          <w:rFonts w:hint="eastAsia" w:ascii="仿宋_GB2312" w:hAnsi="仿宋_GB2312" w:eastAsia="仿宋_GB2312" w:cs="仿宋_GB2312"/>
          <w:sz w:val="32"/>
          <w:szCs w:val="32"/>
          <w:u w:val="none" w:color="auto"/>
        </w:rPr>
        <w:t>出</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z w:val="32"/>
          <w:szCs w:val="32"/>
          <w:u w:val="none" w:color="auto"/>
        </w:rPr>
        <w:t>万元，</w:t>
      </w:r>
      <w:r>
        <w:rPr>
          <w:rFonts w:hint="eastAsia" w:ascii="仿宋_GB2312" w:hAnsi="仿宋_GB2312" w:eastAsia="仿宋_GB2312" w:cs="仿宋_GB2312"/>
          <w:spacing w:val="-6"/>
          <w:sz w:val="32"/>
          <w:szCs w:val="32"/>
          <w:u w:val="none" w:color="auto"/>
        </w:rPr>
        <w:t>占</w:t>
      </w:r>
      <w:r>
        <w:rPr>
          <w:rFonts w:hint="eastAsia" w:ascii="仿宋_GB2312" w:hAnsi="仿宋_GB2312" w:eastAsia="仿宋_GB2312" w:cs="仿宋_GB2312"/>
          <w:spacing w:val="-6"/>
          <w:sz w:val="32"/>
          <w:szCs w:val="32"/>
          <w:u w:val="none" w:color="auto"/>
          <w:lang w:val="en-US" w:eastAsia="zh-CN"/>
        </w:rPr>
        <w:t>0</w:t>
      </w:r>
      <w:r>
        <w:rPr>
          <w:rFonts w:hint="eastAsia" w:ascii="仿宋_GB2312" w:hAnsi="仿宋_GB2312" w:eastAsia="仿宋_GB2312" w:cs="仿宋_GB2312"/>
          <w:spacing w:val="-6"/>
          <w:sz w:val="32"/>
          <w:szCs w:val="32"/>
          <w:u w:val="none" w:color="auto"/>
        </w:rPr>
        <w:t>%；</w:t>
      </w:r>
      <w:r>
        <w:rPr>
          <w:rFonts w:hint="eastAsia" w:ascii="仿宋_GB2312" w:hAnsi="仿宋_GB2312" w:eastAsia="仿宋_GB2312" w:cs="仿宋_GB2312"/>
          <w:spacing w:val="-3"/>
          <w:sz w:val="32"/>
          <w:szCs w:val="32"/>
          <w:u w:val="none" w:color="auto"/>
        </w:rPr>
        <w:t>公务用车购置及运行维护费支出</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万元，占</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%；公</w:t>
      </w:r>
      <w:r>
        <w:rPr>
          <w:rFonts w:hint="eastAsia" w:ascii="仿宋_GB2312" w:hAnsi="仿宋_GB2312" w:eastAsia="仿宋_GB2312" w:cs="仿宋_GB2312"/>
          <w:spacing w:val="6"/>
          <w:sz w:val="32"/>
          <w:szCs w:val="32"/>
          <w:u w:val="none" w:color="auto"/>
        </w:rPr>
        <w:t>务接</w:t>
      </w:r>
      <w:r>
        <w:rPr>
          <w:rFonts w:hint="eastAsia" w:ascii="仿宋_GB2312" w:hAnsi="仿宋_GB2312" w:eastAsia="仿宋_GB2312" w:cs="仿宋_GB2312"/>
          <w:spacing w:val="5"/>
          <w:sz w:val="32"/>
          <w:szCs w:val="32"/>
          <w:u w:val="none" w:color="auto"/>
        </w:rPr>
        <w:t>待</w:t>
      </w:r>
      <w:r>
        <w:rPr>
          <w:rFonts w:hint="eastAsia" w:ascii="仿宋_GB2312" w:hAnsi="仿宋_GB2312" w:eastAsia="仿宋_GB2312" w:cs="仿宋_GB2312"/>
          <w:spacing w:val="3"/>
          <w:sz w:val="32"/>
          <w:szCs w:val="32"/>
          <w:u w:val="none" w:color="auto"/>
        </w:rPr>
        <w:t>费支出</w:t>
      </w:r>
      <w:r>
        <w:rPr>
          <w:rFonts w:hint="eastAsia" w:ascii="仿宋_GB2312" w:hAnsi="仿宋_GB2312" w:eastAsia="仿宋_GB2312" w:cs="仿宋_GB2312"/>
          <w:spacing w:val="3"/>
          <w:sz w:val="32"/>
          <w:szCs w:val="32"/>
          <w:u w:val="none" w:color="auto"/>
          <w:lang w:val="en-US" w:eastAsia="zh-CN"/>
        </w:rPr>
        <w:t>0.3</w:t>
      </w:r>
      <w:r>
        <w:rPr>
          <w:rFonts w:hint="eastAsia" w:ascii="仿宋_GB2312" w:hAnsi="仿宋_GB2312" w:eastAsia="仿宋_GB2312" w:cs="仿宋_GB2312"/>
          <w:spacing w:val="3"/>
          <w:sz w:val="32"/>
          <w:szCs w:val="32"/>
          <w:u w:val="none" w:color="auto"/>
        </w:rPr>
        <w:t>万元</w:t>
      </w:r>
      <w:r>
        <w:rPr>
          <w:rFonts w:hint="eastAsia" w:ascii="仿宋_GB2312" w:hAnsi="仿宋_GB2312" w:eastAsia="仿宋_GB2312" w:cs="仿宋_GB2312"/>
          <w:spacing w:val="3"/>
          <w:sz w:val="32"/>
          <w:szCs w:val="32"/>
          <w:u w:val="none" w:color="auto"/>
          <w:lang w:eastAsia="zh-CN"/>
        </w:rPr>
        <w:t>，</w:t>
      </w:r>
      <w:r>
        <w:rPr>
          <w:rFonts w:hint="eastAsia" w:ascii="仿宋_GB2312" w:hAnsi="仿宋_GB2312" w:eastAsia="仿宋_GB2312" w:cs="仿宋_GB2312"/>
          <w:spacing w:val="3"/>
          <w:sz w:val="32"/>
          <w:szCs w:val="32"/>
          <w:u w:val="none" w:color="auto"/>
        </w:rPr>
        <w:t>占</w:t>
      </w:r>
      <w:r>
        <w:rPr>
          <w:rFonts w:hint="eastAsia" w:ascii="仿宋_GB2312" w:hAnsi="仿宋_GB2312" w:eastAsia="仿宋_GB2312" w:cs="仿宋_GB2312"/>
          <w:spacing w:val="3"/>
          <w:sz w:val="32"/>
          <w:szCs w:val="32"/>
          <w:u w:val="none" w:color="auto"/>
          <w:lang w:val="en-US" w:eastAsia="zh-CN"/>
        </w:rPr>
        <w:t>100</w:t>
      </w:r>
      <w:r>
        <w:rPr>
          <w:rFonts w:hint="eastAsia" w:ascii="仿宋_GB2312" w:hAnsi="仿宋_GB2312" w:eastAsia="仿宋_GB2312" w:cs="仿宋_GB2312"/>
          <w:spacing w:val="3"/>
          <w:sz w:val="32"/>
          <w:szCs w:val="32"/>
          <w:u w:val="none" w:color="auto"/>
        </w:rPr>
        <w:t>%。具体情况如下：</w:t>
      </w:r>
    </w:p>
    <w:p>
      <w:pPr>
        <w:keepNext w:val="0"/>
        <w:keepLines w:val="0"/>
        <w:pageBreakBefore w:val="0"/>
        <w:widowControl/>
        <w:wordWrap/>
        <w:overflowPunct/>
        <w:topLinePunct w:val="0"/>
        <w:bidi w:val="0"/>
        <w:adjustRightInd w:val="0"/>
        <w:snapToGrid w:val="0"/>
        <w:spacing w:line="560" w:lineRule="exact"/>
        <w:ind w:left="35" w:right="243" w:firstLine="666"/>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2"/>
          <w:sz w:val="32"/>
          <w:szCs w:val="32"/>
          <w:u w:val="none" w:color="auto"/>
        </w:rPr>
        <w:t>一般公共预算拨款安排的“三公”经费预算支出</w:t>
      </w:r>
      <w:r>
        <w:rPr>
          <w:rFonts w:hint="eastAsia" w:ascii="仿宋_GB2312" w:hAnsi="仿宋_GB2312" w:eastAsia="仿宋_GB2312" w:cs="仿宋_GB2312"/>
          <w:spacing w:val="2"/>
          <w:sz w:val="32"/>
          <w:szCs w:val="32"/>
          <w:u w:val="none" w:color="auto"/>
          <w:lang w:val="en-US" w:eastAsia="zh-CN"/>
        </w:rPr>
        <w:t>0.3</w:t>
      </w:r>
      <w:r>
        <w:rPr>
          <w:rFonts w:hint="eastAsia" w:ascii="仿宋_GB2312" w:hAnsi="仿宋_GB2312" w:eastAsia="仿宋_GB2312" w:cs="仿宋_GB2312"/>
          <w:spacing w:val="2"/>
          <w:sz w:val="32"/>
          <w:szCs w:val="32"/>
          <w:u w:val="none" w:color="auto"/>
        </w:rPr>
        <w:t>万元，比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3"/>
          <w:sz w:val="32"/>
          <w:szCs w:val="32"/>
          <w:u w:val="none" w:color="auto"/>
        </w:rPr>
        <w:t>；其中：</w:t>
      </w:r>
    </w:p>
    <w:p>
      <w:pPr>
        <w:keepNext w:val="0"/>
        <w:keepLines w:val="0"/>
        <w:pageBreakBefore w:val="0"/>
        <w:widowControl/>
        <w:wordWrap/>
        <w:overflowPunct/>
        <w:topLinePunct w:val="0"/>
        <w:bidi w:val="0"/>
        <w:adjustRightInd w:val="0"/>
        <w:snapToGrid w:val="0"/>
        <w:spacing w:line="560" w:lineRule="exact"/>
        <w:ind w:firstLine="636"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
          <w:sz w:val="32"/>
          <w:szCs w:val="32"/>
          <w:u w:val="none" w:color="auto"/>
        </w:rPr>
        <w:t>1</w:t>
      </w:r>
      <w:r>
        <w:rPr>
          <w:rFonts w:hint="eastAsia" w:ascii="仿宋_GB2312" w:hAnsi="仿宋_GB2312" w:eastAsia="仿宋_GB2312" w:cs="仿宋_GB2312"/>
          <w:spacing w:val="-1"/>
          <w:sz w:val="32"/>
          <w:szCs w:val="32"/>
          <w:u w:val="none" w:color="auto"/>
          <w:lang w:val="en-US" w:eastAsia="zh-CN"/>
        </w:rPr>
        <w:t>.</w:t>
      </w:r>
      <w:r>
        <w:rPr>
          <w:rFonts w:hint="eastAsia" w:ascii="仿宋_GB2312" w:hAnsi="仿宋_GB2312" w:eastAsia="仿宋_GB2312" w:cs="仿宋_GB2312"/>
          <w:spacing w:val="-1"/>
          <w:sz w:val="32"/>
          <w:szCs w:val="32"/>
          <w:u w:val="none" w:color="auto"/>
        </w:rPr>
        <w:t>因公出国 (境) 费预算支出</w:t>
      </w:r>
      <w:r>
        <w:rPr>
          <w:rFonts w:hint="eastAsia" w:ascii="仿宋_GB2312" w:hAnsi="仿宋_GB2312" w:eastAsia="仿宋_GB2312" w:cs="仿宋_GB2312"/>
          <w:spacing w:val="-1"/>
          <w:sz w:val="32"/>
          <w:szCs w:val="32"/>
          <w:u w:val="none" w:color="auto"/>
          <w:lang w:val="en-US" w:eastAsia="zh-CN"/>
        </w:rPr>
        <w:t>0</w:t>
      </w:r>
      <w:r>
        <w:rPr>
          <w:rFonts w:hint="eastAsia" w:ascii="仿宋_GB2312" w:hAnsi="仿宋_GB2312" w:eastAsia="仿宋_GB2312" w:cs="仿宋_GB2312"/>
          <w:spacing w:val="-1"/>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left="635"/>
        <w:rPr>
          <w:rFonts w:hint="eastAsia" w:ascii="仿宋_GB2312" w:hAnsi="仿宋_GB2312" w:eastAsia="仿宋_GB2312" w:cs="仿宋_GB2312"/>
          <w:spacing w:val="6"/>
          <w:sz w:val="32"/>
          <w:szCs w:val="32"/>
          <w:u w:val="none" w:color="auto"/>
        </w:rPr>
      </w:pPr>
      <w:r>
        <w:rPr>
          <w:rFonts w:hint="eastAsia" w:ascii="仿宋_GB2312" w:hAnsi="仿宋_GB2312" w:eastAsia="仿宋_GB2312" w:cs="仿宋_GB2312"/>
          <w:spacing w:val="12"/>
          <w:sz w:val="32"/>
          <w:szCs w:val="32"/>
          <w:u w:val="none" w:color="auto"/>
        </w:rPr>
        <w:t>2</w:t>
      </w:r>
      <w:r>
        <w:rPr>
          <w:rFonts w:hint="eastAsia" w:ascii="仿宋_GB2312" w:hAnsi="仿宋_GB2312" w:eastAsia="仿宋_GB2312" w:cs="仿宋_GB2312"/>
          <w:spacing w:val="8"/>
          <w:sz w:val="32"/>
          <w:szCs w:val="32"/>
          <w:u w:val="none" w:color="auto"/>
        </w:rPr>
        <w:t>．</w:t>
      </w:r>
      <w:r>
        <w:rPr>
          <w:rFonts w:hint="eastAsia" w:ascii="仿宋_GB2312" w:hAnsi="仿宋_GB2312" w:eastAsia="仿宋_GB2312" w:cs="仿宋_GB2312"/>
          <w:spacing w:val="6"/>
          <w:sz w:val="32"/>
          <w:szCs w:val="32"/>
          <w:u w:val="none" w:color="auto"/>
        </w:rPr>
        <w:t>公务用车购置及运行维护费预算支出</w:t>
      </w:r>
      <w:r>
        <w:rPr>
          <w:rFonts w:hint="eastAsia" w:ascii="仿宋_GB2312" w:hAnsi="仿宋_GB2312" w:eastAsia="仿宋_GB2312" w:cs="仿宋_GB2312"/>
          <w:spacing w:val="6"/>
          <w:sz w:val="32"/>
          <w:szCs w:val="32"/>
          <w:u w:val="none" w:color="auto"/>
          <w:lang w:val="en-US" w:eastAsia="zh-CN"/>
        </w:rPr>
        <w:t>0</w:t>
      </w:r>
      <w:r>
        <w:rPr>
          <w:rFonts w:hint="eastAsia" w:ascii="仿宋_GB2312" w:hAnsi="仿宋_GB2312" w:eastAsia="仿宋_GB2312" w:cs="仿宋_GB2312"/>
          <w:spacing w:val="6"/>
          <w:sz w:val="32"/>
          <w:szCs w:val="32"/>
          <w:u w:val="none" w:color="auto"/>
        </w:rPr>
        <w:t>万元。其中：</w:t>
      </w:r>
    </w:p>
    <w:p>
      <w:pPr>
        <w:keepNext w:val="0"/>
        <w:keepLines w:val="0"/>
        <w:pageBreakBefore w:val="0"/>
        <w:widowControl/>
        <w:wordWrap/>
        <w:overflowPunct/>
        <w:topLinePunct w:val="0"/>
        <w:bidi w:val="0"/>
        <w:adjustRightInd w:val="0"/>
        <w:snapToGrid w:val="0"/>
        <w:spacing w:line="560" w:lineRule="exact"/>
        <w:ind w:firstLine="652" w:firstLineChars="200"/>
        <w:rPr>
          <w:rFonts w:hint="eastAsia" w:ascii="仿宋_GB2312" w:hAnsi="仿宋_GB2312" w:eastAsia="仿宋_GB2312" w:cs="仿宋_GB2312"/>
          <w:spacing w:val="-4"/>
          <w:sz w:val="32"/>
          <w:szCs w:val="32"/>
          <w:u w:val="none" w:color="auto"/>
        </w:rPr>
      </w:pPr>
      <w:r>
        <w:rPr>
          <w:rFonts w:hint="eastAsia" w:ascii="仿宋_GB2312" w:hAnsi="仿宋_GB2312" w:eastAsia="仿宋_GB2312" w:cs="仿宋_GB2312"/>
          <w:spacing w:val="3"/>
          <w:sz w:val="32"/>
          <w:szCs w:val="32"/>
          <w:u w:val="none" w:color="auto"/>
        </w:rPr>
        <w:t>(1)公务用车购置预算支出</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firstLine="704"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6"/>
          <w:sz w:val="32"/>
          <w:szCs w:val="32"/>
          <w:u w:val="none" w:color="auto"/>
        </w:rPr>
        <w:t>(</w:t>
      </w:r>
      <w:r>
        <w:rPr>
          <w:rFonts w:hint="eastAsia" w:ascii="仿宋_GB2312" w:hAnsi="仿宋_GB2312" w:eastAsia="仿宋_GB2312" w:cs="仿宋_GB2312"/>
          <w:spacing w:val="11"/>
          <w:sz w:val="32"/>
          <w:szCs w:val="32"/>
          <w:u w:val="none" w:color="auto"/>
        </w:rPr>
        <w:t>2)公务用车运行维护费预算支出</w:t>
      </w:r>
      <w:r>
        <w:rPr>
          <w:rFonts w:hint="eastAsia" w:ascii="仿宋_GB2312" w:hAnsi="仿宋_GB2312" w:eastAsia="仿宋_GB2312" w:cs="仿宋_GB2312"/>
          <w:spacing w:val="11"/>
          <w:sz w:val="32"/>
          <w:szCs w:val="32"/>
          <w:u w:val="none" w:color="auto"/>
          <w:lang w:val="en-US" w:eastAsia="zh-CN"/>
        </w:rPr>
        <w:t>0</w:t>
      </w:r>
      <w:r>
        <w:rPr>
          <w:rFonts w:hint="eastAsia" w:ascii="仿宋_GB2312" w:hAnsi="仿宋_GB2312" w:eastAsia="仿宋_GB2312" w:cs="仿宋_GB2312"/>
          <w:spacing w:val="11"/>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firstLine="652" w:firstLineChars="200"/>
        <w:rPr>
          <w:rFonts w:hint="eastAsia" w:ascii="仿宋_GB2312" w:hAnsi="仿宋_GB2312" w:eastAsia="仿宋_GB2312" w:cs="仿宋_GB2312"/>
          <w:spacing w:val="3"/>
          <w:sz w:val="32"/>
          <w:szCs w:val="32"/>
          <w:u w:val="none" w:color="auto"/>
        </w:rPr>
      </w:pPr>
      <w:r>
        <w:rPr>
          <w:rFonts w:hint="eastAsia" w:ascii="仿宋_GB2312" w:hAnsi="仿宋_GB2312" w:eastAsia="仿宋_GB2312" w:cs="仿宋_GB2312"/>
          <w:spacing w:val="3"/>
          <w:sz w:val="32"/>
          <w:szCs w:val="32"/>
          <w:u w:val="none" w:color="auto"/>
        </w:rPr>
        <w:t>3．公务接待费预算支出</w:t>
      </w:r>
      <w:r>
        <w:rPr>
          <w:rFonts w:hint="eastAsia" w:ascii="仿宋_GB2312" w:hAnsi="仿宋_GB2312" w:eastAsia="仿宋_GB2312" w:cs="仿宋_GB2312"/>
          <w:spacing w:val="3"/>
          <w:sz w:val="32"/>
          <w:szCs w:val="32"/>
          <w:u w:val="none" w:color="auto"/>
          <w:lang w:val="en-US" w:eastAsia="zh-CN"/>
        </w:rPr>
        <w:t>0.3</w:t>
      </w:r>
      <w:r>
        <w:rPr>
          <w:rFonts w:hint="eastAsia" w:ascii="仿宋_GB2312" w:hAnsi="仿宋_GB2312" w:eastAsia="仿宋_GB2312" w:cs="仿宋_GB2312"/>
          <w:spacing w:val="3"/>
          <w:sz w:val="32"/>
          <w:szCs w:val="32"/>
          <w:u w:val="none" w:color="auto"/>
        </w:rPr>
        <w:t>万元，比上年预算</w:t>
      </w:r>
      <w:r>
        <w:rPr>
          <w:rFonts w:hint="eastAsia" w:ascii="仿宋_GB2312" w:hAnsi="仿宋_GB2312" w:eastAsia="仿宋_GB2312" w:cs="仿宋_GB2312"/>
          <w:spacing w:val="3"/>
          <w:sz w:val="32"/>
          <w:szCs w:val="32"/>
          <w:u w:val="none" w:color="auto"/>
          <w:lang w:eastAsia="zh-CN"/>
        </w:rPr>
        <w:t>相比无增减变化</w:t>
      </w:r>
      <w:r>
        <w:rPr>
          <w:rFonts w:hint="eastAsia" w:ascii="仿宋_GB2312" w:hAnsi="仿宋_GB2312" w:eastAsia="仿宋_GB2312" w:cs="仿宋_GB2312"/>
          <w:spacing w:val="3"/>
          <w:sz w:val="32"/>
          <w:szCs w:val="32"/>
          <w:u w:val="none" w:color="auto"/>
        </w:rPr>
        <w:t>，主要原因</w:t>
      </w:r>
      <w:r>
        <w:rPr>
          <w:rFonts w:hint="eastAsia" w:ascii="仿宋_GB2312" w:hAnsi="仿宋_GB2312" w:eastAsia="仿宋_GB2312" w:cs="仿宋_GB2312"/>
          <w:spacing w:val="3"/>
          <w:sz w:val="32"/>
          <w:szCs w:val="32"/>
          <w:u w:val="none" w:color="auto"/>
          <w:lang w:eastAsia="zh-CN"/>
        </w:rPr>
        <w:t>严格按照公务接待管理办法执行公务接待。</w:t>
      </w:r>
    </w:p>
    <w:p>
      <w:pPr>
        <w:keepNext w:val="0"/>
        <w:keepLines w:val="0"/>
        <w:pageBreakBefore w:val="0"/>
        <w:widowControl/>
        <w:wordWrap/>
        <w:overflowPunct/>
        <w:topLinePunct w:val="0"/>
        <w:bidi w:val="0"/>
        <w:adjustRightInd w:val="0"/>
        <w:snapToGrid w:val="0"/>
        <w:spacing w:line="560" w:lineRule="exact"/>
        <w:ind w:left="646"/>
        <w:outlineLvl w:val="2"/>
        <w:rPr>
          <w:rFonts w:ascii="黑体" w:hAnsi="黑体" w:eastAsia="黑体" w:cs="黑体"/>
          <w:sz w:val="32"/>
          <w:szCs w:val="32"/>
          <w:u w:val="none" w:color="auto"/>
        </w:rPr>
      </w:pPr>
      <w:r>
        <w:rPr>
          <w:rFonts w:ascii="黑体" w:hAnsi="黑体" w:eastAsia="黑体" w:cs="黑体"/>
          <w:spacing w:val="11"/>
          <w:sz w:val="32"/>
          <w:szCs w:val="32"/>
          <w:u w:val="none" w:color="auto"/>
        </w:rPr>
        <w:t>八</w:t>
      </w:r>
      <w:r>
        <w:rPr>
          <w:rFonts w:ascii="黑体" w:hAnsi="黑体" w:eastAsia="黑体" w:cs="黑体"/>
          <w:spacing w:val="9"/>
          <w:sz w:val="32"/>
          <w:szCs w:val="32"/>
          <w:u w:val="none" w:color="auto"/>
        </w:rPr>
        <w:t>、政府性基金预算支出预算情况说明</w:t>
      </w:r>
    </w:p>
    <w:p>
      <w:pPr>
        <w:keepNext w:val="0"/>
        <w:keepLines w:val="0"/>
        <w:pageBreakBefore w:val="0"/>
        <w:widowControl/>
        <w:wordWrap/>
        <w:overflowPunct/>
        <w:topLinePunct w:val="0"/>
        <w:bidi w:val="0"/>
        <w:adjustRightInd w:val="0"/>
        <w:snapToGrid w:val="0"/>
        <w:spacing w:line="560" w:lineRule="exact"/>
        <w:ind w:firstLine="652" w:firstLineChars="200"/>
        <w:rPr>
          <w:rFonts w:hint="eastAsia" w:ascii="仿宋_GB2312" w:hAnsi="仿宋_GB2312" w:eastAsia="仿宋_GB2312" w:cs="仿宋_GB2312"/>
          <w:spacing w:val="3"/>
          <w:sz w:val="32"/>
          <w:szCs w:val="32"/>
          <w:u w:val="none" w:color="auto"/>
        </w:rPr>
      </w:pPr>
      <w:r>
        <w:rPr>
          <w:rFonts w:hint="eastAsia" w:ascii="仿宋_GB2312" w:hAnsi="仿宋_GB2312" w:eastAsia="仿宋_GB2312" w:cs="仿宋_GB2312"/>
          <w:spacing w:val="3"/>
          <w:sz w:val="32"/>
          <w:szCs w:val="32"/>
          <w:u w:val="none" w:color="auto"/>
          <w:lang w:val="en-US" w:eastAsia="zh-CN"/>
        </w:rPr>
        <w:t>中共磴口县委员会机构编制委员会办公室2025年度</w:t>
      </w:r>
      <w:r>
        <w:rPr>
          <w:rFonts w:hint="eastAsia" w:ascii="仿宋_GB2312" w:hAnsi="仿宋_GB2312" w:eastAsia="仿宋_GB2312" w:cs="仿宋_GB2312"/>
          <w:spacing w:val="3"/>
          <w:sz w:val="32"/>
          <w:szCs w:val="32"/>
          <w:u w:val="none" w:color="auto"/>
        </w:rPr>
        <w:t>政府性基金支出预算支出</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万元</w:t>
      </w:r>
      <w:r>
        <w:rPr>
          <w:rFonts w:hint="eastAsia" w:ascii="仿宋_GB2312" w:hAnsi="仿宋_GB2312" w:eastAsia="仿宋_GB2312" w:cs="仿宋_GB2312"/>
          <w:spacing w:val="3"/>
          <w:sz w:val="32"/>
          <w:szCs w:val="32"/>
          <w:u w:val="none" w:color="auto"/>
          <w:lang w:eastAsia="zh-CN"/>
        </w:rPr>
        <w:t>，</w:t>
      </w:r>
      <w:r>
        <w:rPr>
          <w:rFonts w:hint="eastAsia" w:ascii="仿宋_GB2312" w:hAnsi="仿宋_GB2312" w:eastAsia="仿宋_GB2312" w:cs="仿宋_GB2312"/>
          <w:spacing w:val="3"/>
          <w:sz w:val="32"/>
          <w:szCs w:val="32"/>
          <w:u w:val="none" w:color="auto"/>
        </w:rPr>
        <w:t>与上年相比</w:t>
      </w:r>
      <w:r>
        <w:rPr>
          <w:rFonts w:hint="eastAsia" w:ascii="仿宋_GB2312" w:hAnsi="仿宋_GB2312" w:eastAsia="仿宋_GB2312" w:cs="仿宋_GB2312"/>
          <w:spacing w:val="3"/>
          <w:sz w:val="32"/>
          <w:szCs w:val="32"/>
          <w:u w:val="none" w:color="auto"/>
          <w:lang w:eastAsia="zh-CN"/>
        </w:rPr>
        <w:t>无增减变化。</w:t>
      </w:r>
      <w:r>
        <w:rPr>
          <w:rFonts w:hint="eastAsia" w:ascii="仿宋_GB2312" w:hAnsi="仿宋_GB2312" w:eastAsia="仿宋_GB2312" w:cs="仿宋_GB2312"/>
          <w:spacing w:val="3"/>
          <w:sz w:val="32"/>
          <w:szCs w:val="32"/>
          <w:u w:val="none" w:color="auto"/>
        </w:rPr>
        <w:t>主要原因本年无政府性基金预算支出。</w:t>
      </w: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z w:val="32"/>
          <w:szCs w:val="32"/>
        </w:rPr>
      </w:pPr>
      <w:r>
        <w:rPr>
          <w:rFonts w:ascii="黑体" w:hAnsi="黑体" w:eastAsia="黑体" w:cs="黑体"/>
          <w:spacing w:val="9"/>
          <w:sz w:val="32"/>
          <w:szCs w:val="32"/>
        </w:rPr>
        <w:t>九、国有资本经营预算支出预算情况说</w:t>
      </w:r>
      <w:r>
        <w:rPr>
          <w:rFonts w:ascii="黑体" w:hAnsi="黑体" w:eastAsia="黑体" w:cs="黑体"/>
          <w:spacing w:val="6"/>
          <w:sz w:val="32"/>
          <w:szCs w:val="32"/>
        </w:rPr>
        <w:t>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hint="eastAsia" w:ascii="仿宋_GB2312" w:hAnsi="仿宋_GB2312" w:eastAsia="仿宋_GB2312" w:cs="仿宋_GB2312"/>
          <w:spacing w:val="28"/>
          <w:sz w:val="32"/>
          <w:szCs w:val="32"/>
        </w:rPr>
        <w:t>国有资本</w:t>
      </w:r>
      <w:r>
        <w:rPr>
          <w:rFonts w:hint="eastAsia" w:ascii="仿宋_GB2312" w:hAnsi="仿宋_GB2312" w:eastAsia="仿宋_GB2312" w:cs="仿宋_GB2312"/>
          <w:sz w:val="32"/>
          <w:szCs w:val="32"/>
          <w:u w:val="none" w:color="auto"/>
          <w:lang w:val="en-US" w:eastAsia="zh-CN"/>
        </w:rPr>
        <w:t>经营预算支出0万元，与上年相比无增减变化。主要原因本年无国有资本经营预算支出。</w:t>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15"/>
          <w:sz w:val="32"/>
          <w:szCs w:val="32"/>
        </w:rPr>
        <w:t>十</w:t>
      </w:r>
      <w:r>
        <w:rPr>
          <w:rFonts w:ascii="黑体" w:hAnsi="黑体" w:eastAsia="黑体" w:cs="黑体"/>
          <w:spacing w:val="8"/>
          <w:sz w:val="32"/>
          <w:szCs w:val="32"/>
        </w:rPr>
        <w:t>、项目支出预算情况说明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hint="eastAsia" w:ascii="仿宋_GB2312" w:hAnsi="仿宋_GB2312" w:eastAsia="仿宋_GB2312" w:cs="仿宋_GB2312"/>
          <w:spacing w:val="28"/>
          <w:sz w:val="32"/>
          <w:szCs w:val="32"/>
        </w:rPr>
        <w:t>预算安排项目</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个，项目预算总金额</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万元。其中</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财政本年拨款金额</w:t>
      </w:r>
      <w:r>
        <w:rPr>
          <w:rFonts w:hint="eastAsia" w:ascii="仿宋_GB2312" w:hAnsi="仿宋_GB2312" w:eastAsia="仿宋_GB2312" w:cs="仿宋_GB2312"/>
          <w:spacing w:val="28"/>
          <w:sz w:val="32"/>
          <w:szCs w:val="32"/>
          <w:lang w:val="en-US" w:eastAsia="zh-CN"/>
        </w:rPr>
        <w:t>0万元，财政拨款结转结余0万元，财政专户管理资金0万元，单</w:t>
      </w:r>
      <w:r>
        <w:rPr>
          <w:rFonts w:hint="eastAsia" w:ascii="仿宋_GB2312" w:hAnsi="仿宋_GB2312" w:eastAsia="仿宋_GB2312" w:cs="仿宋_GB2312"/>
          <w:sz w:val="32"/>
          <w:szCs w:val="32"/>
          <w:u w:val="none" w:color="auto"/>
          <w:lang w:val="en-US" w:eastAsia="zh-CN"/>
        </w:rPr>
        <w:t>位资金0万元。</w:t>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10"/>
          <w:sz w:val="32"/>
          <w:szCs w:val="32"/>
        </w:rPr>
        <w:t>十</w:t>
      </w:r>
      <w:r>
        <w:rPr>
          <w:rFonts w:ascii="黑体" w:hAnsi="黑体" w:eastAsia="黑体" w:cs="黑体"/>
          <w:spacing w:val="9"/>
          <w:sz w:val="32"/>
          <w:szCs w:val="32"/>
        </w:rPr>
        <w:t>一、机构运行经费支出预算情况说明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hint="eastAsia" w:ascii="仿宋_GB2312" w:hAnsi="仿宋_GB2312" w:eastAsia="仿宋_GB2312" w:cs="仿宋_GB2312"/>
          <w:spacing w:val="28"/>
          <w:sz w:val="32"/>
          <w:szCs w:val="32"/>
        </w:rPr>
        <w:t>机构运行经费预算支出</w:t>
      </w:r>
      <w:r>
        <w:rPr>
          <w:rFonts w:hint="eastAsia" w:ascii="仿宋_GB2312" w:hAnsi="仿宋_GB2312" w:eastAsia="仿宋_GB2312" w:cs="仿宋_GB2312"/>
          <w:spacing w:val="28"/>
          <w:sz w:val="32"/>
          <w:szCs w:val="32"/>
          <w:lang w:val="en-US" w:eastAsia="zh-CN"/>
        </w:rPr>
        <w:t>224.43</w:t>
      </w:r>
      <w:r>
        <w:rPr>
          <w:rFonts w:hint="eastAsia" w:ascii="仿宋_GB2312" w:hAnsi="仿宋_GB2312" w:eastAsia="仿宋_GB2312" w:cs="仿宋_GB2312"/>
          <w:spacing w:val="28"/>
          <w:sz w:val="32"/>
          <w:szCs w:val="32"/>
        </w:rPr>
        <w:t>万元，与上年相比增加</w:t>
      </w:r>
      <w:r>
        <w:rPr>
          <w:rFonts w:hint="eastAsia" w:ascii="仿宋_GB2312" w:hAnsi="仿宋_GB2312" w:eastAsia="仿宋_GB2312" w:cs="仿宋_GB2312"/>
          <w:spacing w:val="28"/>
          <w:sz w:val="32"/>
          <w:szCs w:val="32"/>
          <w:lang w:val="en-US" w:eastAsia="zh-CN"/>
        </w:rPr>
        <w:t>8.74</w:t>
      </w:r>
      <w:r>
        <w:rPr>
          <w:rFonts w:hint="eastAsia" w:ascii="仿宋_GB2312" w:hAnsi="仿宋_GB2312" w:eastAsia="仿宋_GB2312" w:cs="仿宋_GB2312"/>
          <w:spacing w:val="28"/>
          <w:sz w:val="32"/>
          <w:szCs w:val="32"/>
        </w:rPr>
        <w:t>万元，增长</w:t>
      </w:r>
      <w:r>
        <w:rPr>
          <w:rFonts w:hint="eastAsia" w:ascii="仿宋_GB2312" w:hAnsi="仿宋_GB2312" w:eastAsia="仿宋_GB2312" w:cs="仿宋_GB2312"/>
          <w:spacing w:val="28"/>
          <w:sz w:val="32"/>
          <w:szCs w:val="32"/>
          <w:lang w:val="en-US" w:eastAsia="zh-CN"/>
        </w:rPr>
        <w:t>4.05</w:t>
      </w:r>
      <w:r>
        <w:rPr>
          <w:rFonts w:hint="eastAsia" w:ascii="仿宋_GB2312" w:hAnsi="仿宋_GB2312" w:eastAsia="仿宋_GB2312" w:cs="仿宋_GB2312"/>
          <w:spacing w:val="28"/>
          <w:sz w:val="32"/>
          <w:szCs w:val="32"/>
        </w:rPr>
        <w:t>%。主要原因是</w:t>
      </w:r>
      <w:r>
        <w:rPr>
          <w:rFonts w:hint="eastAsia" w:ascii="仿宋_GB2312" w:eastAsia="仿宋_GB2312"/>
          <w:color w:val="auto"/>
          <w:sz w:val="32"/>
          <w:szCs w:val="32"/>
          <w:lang w:eastAsia="zh-CN"/>
        </w:rPr>
        <w:t>人员</w:t>
      </w:r>
      <w:r>
        <w:rPr>
          <w:rFonts w:hint="eastAsia" w:ascii="仿宋_GB2312" w:eastAsia="仿宋_GB2312"/>
          <w:color w:val="auto"/>
          <w:sz w:val="32"/>
          <w:szCs w:val="32"/>
          <w:lang w:val="en-US" w:eastAsia="zh-CN"/>
        </w:rPr>
        <w:t>调整和项目支出增加导致</w:t>
      </w:r>
      <w:r>
        <w:rPr>
          <w:rFonts w:hint="eastAsia" w:ascii="仿宋_GB2312" w:hAnsi="仿宋_GB2312" w:eastAsia="仿宋_GB2312" w:cs="仿宋_GB2312"/>
          <w:spacing w:val="28"/>
          <w:sz w:val="32"/>
          <w:szCs w:val="32"/>
        </w:rPr>
        <w:t>机构运行经费预算支出</w:t>
      </w:r>
      <w:r>
        <w:rPr>
          <w:rFonts w:hint="eastAsia" w:ascii="仿宋_GB2312" w:eastAsia="仿宋_GB2312"/>
          <w:color w:val="auto"/>
          <w:sz w:val="32"/>
          <w:szCs w:val="32"/>
          <w:lang w:eastAsia="zh-CN"/>
        </w:rPr>
        <w:t>增加。</w:t>
      </w:r>
    </w:p>
    <w:p>
      <w:pPr>
        <w:keepNext w:val="0"/>
        <w:keepLines w:val="0"/>
        <w:pageBreakBefore w:val="0"/>
        <w:widowControl/>
        <w:numPr>
          <w:ilvl w:val="0"/>
          <w:numId w:val="3"/>
        </w:numPr>
        <w:wordWrap/>
        <w:overflowPunct/>
        <w:topLinePunct w:val="0"/>
        <w:bidi w:val="0"/>
        <w:adjustRightInd w:val="0"/>
        <w:snapToGrid w:val="0"/>
        <w:spacing w:line="560" w:lineRule="exact"/>
        <w:ind w:left="655"/>
        <w:outlineLvl w:val="2"/>
        <w:rPr>
          <w:rFonts w:ascii="黑体" w:hAnsi="黑体" w:eastAsia="黑体" w:cs="黑体"/>
          <w:spacing w:val="7"/>
          <w:sz w:val="32"/>
          <w:szCs w:val="32"/>
        </w:rPr>
      </w:pPr>
      <w:r>
        <w:rPr>
          <w:rFonts w:ascii="黑体" w:hAnsi="黑体" w:eastAsia="黑体" w:cs="黑体"/>
          <w:spacing w:val="9"/>
          <w:sz w:val="32"/>
          <w:szCs w:val="32"/>
        </w:rPr>
        <w:t>政府采购支出预算情况说</w:t>
      </w:r>
      <w:r>
        <w:rPr>
          <w:rFonts w:ascii="黑体" w:hAnsi="黑体" w:eastAsia="黑体" w:cs="黑体"/>
          <w:spacing w:val="7"/>
          <w:sz w:val="32"/>
          <w:szCs w:val="32"/>
        </w:rPr>
        <w:t>明</w:t>
      </w:r>
    </w:p>
    <w:p>
      <w:pPr>
        <w:keepNext w:val="0"/>
        <w:keepLines w:val="0"/>
        <w:pageBreakBefore w:val="0"/>
        <w:widowControl/>
        <w:numPr>
          <w:ilvl w:val="0"/>
          <w:numId w:val="0"/>
        </w:numPr>
        <w:wordWrap/>
        <w:overflowPunct/>
        <w:topLinePunct w:val="0"/>
        <w:bidi w:val="0"/>
        <w:adjustRightInd w:val="0"/>
        <w:snapToGrid w:val="0"/>
        <w:spacing w:line="560" w:lineRule="exact"/>
        <w:ind w:firstLine="640" w:firstLineChars="200"/>
        <w:outlineLvl w:val="2"/>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中共磴口县委员会机构编制委员会办公室2025年度</w:t>
      </w:r>
      <w:r>
        <w:rPr>
          <w:rFonts w:hint="eastAsia" w:ascii="仿宋_GB2312" w:hAnsi="仿宋_GB2312" w:eastAsia="仿宋_GB2312" w:cs="仿宋_GB2312"/>
          <w:spacing w:val="28"/>
          <w:sz w:val="32"/>
          <w:szCs w:val="32"/>
        </w:rPr>
        <w:t>政府采购支出预算总额</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其中</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拟采购货物支出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万元、拟采购工程支出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万元、拟购买服务支出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p>
    <w:p>
      <w:pPr>
        <w:keepNext w:val="0"/>
        <w:keepLines w:val="0"/>
        <w:pageBreakBefore w:val="0"/>
        <w:widowControl/>
        <w:wordWrap/>
        <w:overflowPunct/>
        <w:topLinePunct w:val="0"/>
        <w:bidi w:val="0"/>
        <w:adjustRightInd w:val="0"/>
        <w:snapToGrid w:val="0"/>
        <w:spacing w:line="560" w:lineRule="exact"/>
        <w:ind w:left="655"/>
        <w:outlineLvl w:val="2"/>
        <w:rPr>
          <w:rFonts w:ascii="黑体" w:hAnsi="黑体" w:eastAsia="黑体" w:cs="黑体"/>
          <w:sz w:val="32"/>
          <w:szCs w:val="32"/>
        </w:rPr>
      </w:pPr>
      <w:r>
        <w:rPr>
          <w:rFonts w:ascii="黑体" w:hAnsi="黑体" w:eastAsia="黑体" w:cs="黑体"/>
          <w:spacing w:val="16"/>
          <w:sz w:val="32"/>
          <w:szCs w:val="32"/>
        </w:rPr>
        <w:t>十</w:t>
      </w:r>
      <w:r>
        <w:rPr>
          <w:rFonts w:ascii="黑体" w:hAnsi="黑体" w:eastAsia="黑体" w:cs="黑体"/>
          <w:spacing w:val="8"/>
          <w:sz w:val="32"/>
          <w:szCs w:val="32"/>
        </w:rPr>
        <w:t>三、国有资产占用情况说明</w:t>
      </w:r>
    </w:p>
    <w:p>
      <w:pPr>
        <w:keepNext w:val="0"/>
        <w:keepLines w:val="0"/>
        <w:pageBreakBefore w:val="0"/>
        <w:widowControl/>
        <w:tabs>
          <w:tab w:val="left" w:pos="751"/>
          <w:tab w:val="left" w:pos="789"/>
        </w:tabs>
        <w:wordWrap/>
        <w:overflowPunct/>
        <w:topLinePunct w:val="0"/>
        <w:bidi w:val="0"/>
        <w:adjustRightInd w:val="0"/>
        <w:snapToGrid w:val="0"/>
        <w:spacing w:line="560" w:lineRule="exact"/>
        <w:ind w:firstLine="651"/>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w:t>
      </w:r>
      <w:r>
        <w:rPr>
          <w:rFonts w:hint="eastAsia" w:ascii="仿宋_GB2312" w:hAnsi="仿宋_GB2312" w:eastAsia="仿宋_GB2312" w:cs="仿宋_GB2312"/>
          <w:spacing w:val="10"/>
          <w:sz w:val="32"/>
          <w:szCs w:val="32"/>
          <w:u w:val="none" w:color="auto"/>
        </w:rPr>
        <w:t>共有车辆</w:t>
      </w:r>
      <w:r>
        <w:rPr>
          <w:rFonts w:hint="eastAsia" w:ascii="仿宋_GB2312" w:hAnsi="仿宋_GB2312" w:eastAsia="仿宋_GB2312" w:cs="仿宋_GB2312"/>
          <w:spacing w:val="10"/>
          <w:sz w:val="32"/>
          <w:szCs w:val="32"/>
          <w:u w:val="none" w:color="auto"/>
          <w:lang w:val="en-US" w:eastAsia="zh-CN"/>
        </w:rPr>
        <w:t>0</w:t>
      </w:r>
      <w:r>
        <w:rPr>
          <w:rFonts w:hint="eastAsia" w:ascii="仿宋_GB2312" w:hAnsi="仿宋_GB2312" w:eastAsia="仿宋_GB2312" w:cs="仿宋_GB2312"/>
          <w:spacing w:val="10"/>
          <w:sz w:val="32"/>
          <w:szCs w:val="32"/>
          <w:u w:val="none" w:color="auto"/>
        </w:rPr>
        <w:t>辆，其中，一般公务用车</w:t>
      </w:r>
      <w:r>
        <w:rPr>
          <w:rFonts w:hint="eastAsia" w:ascii="仿宋_GB2312" w:hAnsi="仿宋_GB2312" w:eastAsia="仿宋_GB2312" w:cs="仿宋_GB2312"/>
          <w:spacing w:val="10"/>
          <w:sz w:val="32"/>
          <w:szCs w:val="32"/>
          <w:u w:val="none" w:color="auto"/>
          <w:lang w:val="en-US" w:eastAsia="zh-CN"/>
        </w:rPr>
        <w:t>0</w:t>
      </w:r>
      <w:r>
        <w:rPr>
          <w:rFonts w:hint="eastAsia" w:ascii="仿宋_GB2312" w:hAnsi="仿宋_GB2312" w:eastAsia="仿宋_GB2312" w:cs="仿宋_GB2312"/>
          <w:spacing w:val="31"/>
          <w:sz w:val="32"/>
          <w:szCs w:val="32"/>
          <w:u w:val="none" w:color="auto"/>
        </w:rPr>
        <w:t>辆</w:t>
      </w:r>
      <w:r>
        <w:rPr>
          <w:rFonts w:hint="eastAsia" w:ascii="仿宋_GB2312" w:hAnsi="仿宋_GB2312" w:eastAsia="仿宋_GB2312" w:cs="仿宋_GB2312"/>
          <w:spacing w:val="16"/>
          <w:sz w:val="32"/>
          <w:szCs w:val="32"/>
          <w:u w:val="none" w:color="auto"/>
        </w:rPr>
        <w:t>、执法执勤用车</w:t>
      </w:r>
      <w:r>
        <w:rPr>
          <w:rFonts w:hint="eastAsia" w:ascii="仿宋_GB2312" w:hAnsi="仿宋_GB2312" w:eastAsia="仿宋_GB2312" w:cs="仿宋_GB2312"/>
          <w:spacing w:val="16"/>
          <w:sz w:val="32"/>
          <w:szCs w:val="32"/>
          <w:u w:val="none" w:color="auto"/>
          <w:lang w:val="en-US" w:eastAsia="zh-CN"/>
        </w:rPr>
        <w:t>0</w:t>
      </w:r>
      <w:r>
        <w:rPr>
          <w:rFonts w:hint="eastAsia" w:ascii="仿宋_GB2312" w:hAnsi="仿宋_GB2312" w:eastAsia="仿宋_GB2312" w:cs="仿宋_GB2312"/>
          <w:spacing w:val="16"/>
          <w:sz w:val="32"/>
          <w:szCs w:val="32"/>
          <w:u w:val="none" w:color="auto"/>
        </w:rPr>
        <w:t>辆、特种专业技术用车</w:t>
      </w:r>
      <w:r>
        <w:rPr>
          <w:rFonts w:hint="eastAsia" w:ascii="仿宋_GB2312" w:hAnsi="仿宋_GB2312" w:eastAsia="仿宋_GB2312" w:cs="仿宋_GB2312"/>
          <w:spacing w:val="16"/>
          <w:sz w:val="32"/>
          <w:szCs w:val="32"/>
          <w:u w:val="none" w:color="auto"/>
          <w:lang w:val="en-US" w:eastAsia="zh-CN"/>
        </w:rPr>
        <w:t>0</w:t>
      </w:r>
      <w:r>
        <w:rPr>
          <w:rFonts w:hint="eastAsia" w:ascii="仿宋_GB2312" w:hAnsi="仿宋_GB2312" w:eastAsia="仿宋_GB2312" w:cs="仿宋_GB2312"/>
          <w:spacing w:val="16"/>
          <w:sz w:val="32"/>
          <w:szCs w:val="32"/>
          <w:u w:val="none" w:color="auto"/>
        </w:rPr>
        <w:t>辆、业务用车</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pacing w:val="8"/>
          <w:sz w:val="32"/>
          <w:szCs w:val="32"/>
          <w:u w:val="none" w:color="auto"/>
        </w:rPr>
        <w:t>辆、其他用</w:t>
      </w:r>
      <w:r>
        <w:rPr>
          <w:rFonts w:hint="eastAsia" w:ascii="仿宋_GB2312" w:hAnsi="仿宋_GB2312" w:eastAsia="仿宋_GB2312" w:cs="仿宋_GB2312"/>
          <w:spacing w:val="5"/>
          <w:sz w:val="32"/>
          <w:szCs w:val="32"/>
          <w:u w:val="none" w:color="auto"/>
        </w:rPr>
        <w:t>车</w:t>
      </w:r>
      <w:r>
        <w:rPr>
          <w:rFonts w:hint="eastAsia" w:ascii="仿宋_GB2312" w:hAnsi="仿宋_GB2312" w:eastAsia="仿宋_GB2312" w:cs="仿宋_GB2312"/>
          <w:spacing w:val="4"/>
          <w:sz w:val="32"/>
          <w:szCs w:val="32"/>
          <w:u w:val="none" w:color="auto"/>
          <w:lang w:val="en-US" w:eastAsia="zh-CN"/>
        </w:rPr>
        <w:t>0</w:t>
      </w:r>
      <w:r>
        <w:rPr>
          <w:rFonts w:hint="eastAsia" w:ascii="仿宋_GB2312" w:hAnsi="仿宋_GB2312" w:eastAsia="仿宋_GB2312" w:cs="仿宋_GB2312"/>
          <w:spacing w:val="4"/>
          <w:sz w:val="32"/>
          <w:szCs w:val="32"/>
          <w:u w:val="none" w:color="auto"/>
        </w:rPr>
        <w:t>辆等。单价50万元(含)以上的通用设备</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pacing w:val="2"/>
          <w:sz w:val="32"/>
          <w:szCs w:val="32"/>
          <w:u w:val="none" w:color="auto"/>
        </w:rPr>
        <w:t>台(套)，单价100</w:t>
      </w:r>
      <w:r>
        <w:rPr>
          <w:rFonts w:hint="eastAsia" w:ascii="仿宋_GB2312" w:hAnsi="仿宋_GB2312" w:eastAsia="仿宋_GB2312" w:cs="仿宋_GB2312"/>
          <w:spacing w:val="1"/>
          <w:sz w:val="32"/>
          <w:szCs w:val="32"/>
          <w:u w:val="none" w:color="auto"/>
        </w:rPr>
        <w:t>万元(含)以上的专用设备</w:t>
      </w:r>
      <w:r>
        <w:rPr>
          <w:rFonts w:hint="eastAsia" w:ascii="仿宋_GB2312" w:hAnsi="仿宋_GB2312" w:eastAsia="仿宋_GB2312" w:cs="仿宋_GB2312"/>
          <w:spacing w:val="1"/>
          <w:sz w:val="32"/>
          <w:szCs w:val="32"/>
          <w:u w:val="none" w:color="auto"/>
          <w:lang w:val="en-US" w:eastAsia="zh-CN"/>
        </w:rPr>
        <w:t>0</w:t>
      </w:r>
      <w:r>
        <w:rPr>
          <w:rFonts w:hint="eastAsia" w:ascii="仿宋_GB2312" w:hAnsi="仿宋_GB2312" w:eastAsia="仿宋_GB2312" w:cs="仿宋_GB2312"/>
          <w:spacing w:val="1"/>
          <w:sz w:val="32"/>
          <w:szCs w:val="32"/>
          <w:u w:val="none" w:color="auto"/>
        </w:rPr>
        <w:t>台(套)。</w:t>
      </w:r>
    </w:p>
    <w:p>
      <w:pPr>
        <w:keepNext w:val="0"/>
        <w:keepLines w:val="0"/>
        <w:pageBreakBefore w:val="0"/>
        <w:widowControl/>
        <w:wordWrap/>
        <w:overflowPunct/>
        <w:topLinePunct w:val="0"/>
        <w:bidi w:val="0"/>
        <w:adjustRightInd w:val="0"/>
        <w:snapToGrid w:val="0"/>
        <w:spacing w:line="560" w:lineRule="exact"/>
        <w:ind w:left="655"/>
        <w:outlineLvl w:val="2"/>
        <w:rPr>
          <w:rFonts w:ascii="黑体" w:hAnsi="黑体" w:eastAsia="黑体" w:cs="黑体"/>
          <w:sz w:val="32"/>
          <w:szCs w:val="32"/>
        </w:rPr>
      </w:pPr>
      <w:r>
        <w:rPr>
          <w:rFonts w:ascii="黑体" w:hAnsi="黑体" w:eastAsia="黑体" w:cs="黑体"/>
          <w:spacing w:val="16"/>
          <w:sz w:val="32"/>
          <w:szCs w:val="32"/>
        </w:rPr>
        <w:t>十</w:t>
      </w:r>
      <w:r>
        <w:rPr>
          <w:rFonts w:ascii="黑体" w:hAnsi="黑体" w:eastAsia="黑体" w:cs="黑体"/>
          <w:spacing w:val="8"/>
          <w:sz w:val="32"/>
          <w:szCs w:val="32"/>
        </w:rPr>
        <w:t>四、项目绩效目标情况说明</w:t>
      </w:r>
    </w:p>
    <w:p>
      <w:pPr>
        <w:keepNext w:val="0"/>
        <w:keepLines w:val="0"/>
        <w:pageBreakBefore w:val="0"/>
        <w:widowControl/>
        <w:tabs>
          <w:tab w:val="left" w:pos="751"/>
          <w:tab w:val="left" w:pos="789"/>
        </w:tabs>
        <w:wordWrap/>
        <w:overflowPunct/>
        <w:topLinePunct w:val="0"/>
        <w:bidi w:val="0"/>
        <w:adjustRightInd w:val="0"/>
        <w:snapToGrid w:val="0"/>
        <w:spacing w:line="560" w:lineRule="exact"/>
        <w:ind w:firstLine="651"/>
        <w:rPr>
          <w:rFonts w:hint="eastAsia" w:ascii="仿宋_GB2312" w:hAnsi="仿宋_GB2312" w:eastAsia="仿宋_GB2312" w:cs="仿宋_GB2312"/>
          <w:spacing w:val="10"/>
          <w:sz w:val="32"/>
          <w:szCs w:val="32"/>
          <w:u w:val="none" w:color="auto"/>
          <w:lang w:val="en-US" w:eastAsia="zh-CN"/>
        </w:rPr>
      </w:pPr>
      <w:r>
        <w:rPr>
          <w:rFonts w:hint="eastAsia" w:ascii="仿宋_GB2312" w:hAnsi="仿宋_GB2312" w:eastAsia="仿宋_GB2312" w:cs="仿宋_GB2312"/>
          <w:spacing w:val="10"/>
          <w:sz w:val="32"/>
          <w:szCs w:val="32"/>
          <w:u w:val="none" w:color="auto"/>
          <w:lang w:val="en-US" w:eastAsia="zh-CN"/>
        </w:rPr>
        <w:t>中共磴口县委员会机构编制委员会办公室2025年度填报绩效目标的预算项目0个，公开项目0个，公开项目占全部预算项目的0%。公开填报绩效目标的项目预算0万元，占全部项目预算的0%。</w:t>
      </w:r>
      <w:bookmarkStart w:id="1" w:name="_bookmark13"/>
      <w:bookmarkEnd w:id="1"/>
    </w:p>
    <w:p>
      <w:pPr>
        <w:keepNext w:val="0"/>
        <w:keepLines w:val="0"/>
        <w:pageBreakBefore w:val="0"/>
        <w:widowControl/>
        <w:wordWrap/>
        <w:overflowPunct/>
        <w:topLinePunct w:val="0"/>
        <w:bidi w:val="0"/>
        <w:adjustRightInd w:val="0"/>
        <w:snapToGrid w:val="0"/>
        <w:spacing w:line="560" w:lineRule="exact"/>
        <w:outlineLvl w:val="1"/>
        <w:rPr>
          <w:rFonts w:hint="eastAsia" w:ascii="仿宋_GB2312" w:hAnsi="仿宋_GB2312" w:eastAsia="仿宋_GB2312" w:cs="仿宋_GB2312"/>
          <w:spacing w:val="-6"/>
          <w:sz w:val="32"/>
          <w:szCs w:val="32"/>
        </w:rPr>
      </w:pPr>
    </w:p>
    <w:p>
      <w:pPr>
        <w:pStyle w:val="3"/>
        <w:rPr>
          <w:rFonts w:hint="eastAsia"/>
        </w:rPr>
      </w:pPr>
    </w:p>
    <w:p>
      <w:pPr>
        <w:keepNext w:val="0"/>
        <w:keepLines w:val="0"/>
        <w:pageBreakBefore w:val="0"/>
        <w:widowControl/>
        <w:wordWrap/>
        <w:overflowPunct/>
        <w:topLinePunct w:val="0"/>
        <w:bidi w:val="0"/>
        <w:adjustRightInd w:val="0"/>
        <w:snapToGrid w:val="0"/>
        <w:spacing w:line="560" w:lineRule="exact"/>
        <w:ind w:left="2899"/>
        <w:outlineLvl w:val="1"/>
        <w:rPr>
          <w:rFonts w:ascii="微软雅黑" w:hAnsi="微软雅黑" w:eastAsia="微软雅黑" w:cs="微软雅黑"/>
          <w:spacing w:val="12"/>
          <w:sz w:val="32"/>
          <w:szCs w:val="32"/>
        </w:rPr>
      </w:pPr>
    </w:p>
    <w:p>
      <w:pPr>
        <w:keepNext w:val="0"/>
        <w:keepLines w:val="0"/>
        <w:pageBreakBefore w:val="0"/>
        <w:widowControl/>
        <w:wordWrap/>
        <w:overflowPunct/>
        <w:topLinePunct w:val="0"/>
        <w:bidi w:val="0"/>
        <w:adjustRightInd w:val="0"/>
        <w:snapToGrid w:val="0"/>
        <w:spacing w:line="560" w:lineRule="exact"/>
        <w:ind w:left="2899"/>
        <w:outlineLvl w:val="1"/>
        <w:rPr>
          <w:rFonts w:ascii="微软雅黑" w:hAnsi="微软雅黑" w:eastAsia="微软雅黑" w:cs="微软雅黑"/>
          <w:spacing w:val="12"/>
          <w:sz w:val="32"/>
          <w:szCs w:val="32"/>
        </w:rPr>
      </w:pPr>
    </w:p>
    <w:p>
      <w:pPr>
        <w:keepNext w:val="0"/>
        <w:keepLines w:val="0"/>
        <w:pageBreakBefore w:val="0"/>
        <w:widowControl/>
        <w:wordWrap/>
        <w:overflowPunct/>
        <w:topLinePunct w:val="0"/>
        <w:bidi w:val="0"/>
        <w:adjustRightInd w:val="0"/>
        <w:snapToGrid w:val="0"/>
        <w:spacing w:line="560" w:lineRule="exact"/>
        <w:ind w:left="2899"/>
        <w:outlineLvl w:val="1"/>
        <w:rPr>
          <w:rFonts w:ascii="微软雅黑" w:hAnsi="微软雅黑" w:eastAsia="微软雅黑" w:cs="微软雅黑"/>
          <w:sz w:val="32"/>
          <w:szCs w:val="32"/>
        </w:rPr>
      </w:pPr>
      <w:r>
        <w:rPr>
          <w:rFonts w:ascii="微软雅黑" w:hAnsi="微软雅黑" w:eastAsia="微软雅黑" w:cs="微软雅黑"/>
          <w:spacing w:val="12"/>
          <w:sz w:val="32"/>
          <w:szCs w:val="32"/>
        </w:rPr>
        <w:t>第</w:t>
      </w:r>
      <w:r>
        <w:rPr>
          <w:rFonts w:ascii="微软雅黑" w:hAnsi="微软雅黑" w:eastAsia="微软雅黑" w:cs="微软雅黑"/>
          <w:spacing w:val="11"/>
          <w:sz w:val="32"/>
          <w:szCs w:val="32"/>
        </w:rPr>
        <w:t>三部分   名词解释</w:t>
      </w:r>
    </w:p>
    <w:p>
      <w:pPr>
        <w:keepNext w:val="0"/>
        <w:keepLines w:val="0"/>
        <w:pageBreakBefore w:val="0"/>
        <w:widowControl/>
        <w:wordWrap/>
        <w:overflowPunct/>
        <w:topLinePunct w:val="0"/>
        <w:bidi w:val="0"/>
        <w:adjustRightInd w:val="0"/>
        <w:snapToGrid w:val="0"/>
        <w:spacing w:line="560" w:lineRule="exact"/>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7" w:right="156" w:firstLine="655"/>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一</w:t>
      </w:r>
      <w:r>
        <w:rPr>
          <w:rFonts w:ascii="仿宋" w:hAnsi="仿宋" w:eastAsia="仿宋" w:cs="仿宋"/>
          <w:spacing w:val="18"/>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财政拨款：</w:t>
      </w:r>
      <w:r>
        <w:rPr>
          <w:rFonts w:ascii="仿宋" w:hAnsi="仿宋" w:eastAsia="仿宋" w:cs="仿宋"/>
          <w:spacing w:val="11"/>
          <w:sz w:val="32"/>
          <w:szCs w:val="32"/>
        </w:rPr>
        <w:t>从同级财政部门取得的各类财政拨款，包括</w:t>
      </w:r>
      <w:r>
        <w:rPr>
          <w:rFonts w:ascii="仿宋" w:hAnsi="仿宋" w:eastAsia="仿宋" w:cs="仿宋"/>
          <w:sz w:val="32"/>
          <w:szCs w:val="32"/>
        </w:rPr>
        <w:t xml:space="preserve"> </w:t>
      </w:r>
      <w:r>
        <w:rPr>
          <w:rFonts w:ascii="仿宋" w:hAnsi="仿宋" w:eastAsia="仿宋" w:cs="仿宋"/>
          <w:spacing w:val="19"/>
          <w:sz w:val="32"/>
          <w:szCs w:val="32"/>
        </w:rPr>
        <w:t>一</w:t>
      </w:r>
      <w:r>
        <w:rPr>
          <w:rFonts w:ascii="仿宋" w:hAnsi="仿宋" w:eastAsia="仿宋" w:cs="仿宋"/>
          <w:spacing w:val="12"/>
          <w:sz w:val="32"/>
          <w:szCs w:val="32"/>
        </w:rPr>
        <w:t>般公共预算拨款、政府性基金预算拨款、国有资本经营预算拨</w:t>
      </w:r>
      <w:r>
        <w:rPr>
          <w:rFonts w:ascii="仿宋" w:hAnsi="仿宋" w:eastAsia="仿宋" w:cs="仿宋"/>
          <w:sz w:val="32"/>
          <w:szCs w:val="32"/>
        </w:rPr>
        <w:t xml:space="preserve"> </w:t>
      </w:r>
      <w:r>
        <w:rPr>
          <w:rFonts w:ascii="仿宋" w:hAnsi="仿宋" w:eastAsia="仿宋" w:cs="仿宋"/>
          <w:spacing w:val="-3"/>
          <w:sz w:val="32"/>
          <w:szCs w:val="32"/>
        </w:rPr>
        <w:t>款。</w:t>
      </w:r>
    </w:p>
    <w:p>
      <w:pPr>
        <w:keepNext w:val="0"/>
        <w:keepLines w:val="0"/>
        <w:pageBreakBefore w:val="0"/>
        <w:widowControl/>
        <w:wordWrap/>
        <w:overflowPunct/>
        <w:topLinePunct w:val="0"/>
        <w:bidi w:val="0"/>
        <w:adjustRightInd w:val="0"/>
        <w:snapToGrid w:val="0"/>
        <w:spacing w:line="560" w:lineRule="exact"/>
        <w:ind w:left="661"/>
        <w:rPr>
          <w:rFonts w:ascii="仿宋" w:hAnsi="仿宋" w:eastAsia="仿宋" w:cs="仿宋"/>
          <w:sz w:val="32"/>
          <w:szCs w:val="32"/>
        </w:rPr>
      </w:pPr>
      <w:r>
        <w:rPr>
          <w:rFonts w:ascii="仿宋" w:hAnsi="仿宋" w:eastAsia="仿宋" w:cs="仿宋"/>
          <w:spacing w:val="9"/>
          <w:sz w:val="32"/>
          <w:szCs w:val="32"/>
          <w14:textOutline w14:w="5793" w14:cap="sq" w14:cmpd="sng">
            <w14:solidFill>
              <w14:srgbClr w14:val="000000"/>
            </w14:solidFill>
            <w14:prstDash w14:val="solid"/>
            <w14:bevel/>
          </w14:textOutline>
        </w:rPr>
        <w:t>二、一般公共预算拨款收入：</w:t>
      </w:r>
      <w:r>
        <w:rPr>
          <w:rFonts w:ascii="仿宋" w:hAnsi="仿宋" w:eastAsia="仿宋" w:cs="仿宋"/>
          <w:spacing w:val="9"/>
          <w:sz w:val="32"/>
          <w:szCs w:val="32"/>
        </w:rPr>
        <w:t>指财政当年拨付的资金。</w:t>
      </w:r>
    </w:p>
    <w:p>
      <w:pPr>
        <w:keepNext w:val="0"/>
        <w:keepLines w:val="0"/>
        <w:pageBreakBefore w:val="0"/>
        <w:widowControl/>
        <w:wordWrap/>
        <w:overflowPunct/>
        <w:topLinePunct w:val="0"/>
        <w:bidi w:val="0"/>
        <w:adjustRightInd w:val="0"/>
        <w:snapToGrid w:val="0"/>
        <w:spacing w:line="560" w:lineRule="exact"/>
        <w:ind w:left="12" w:right="156" w:firstLine="654"/>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三</w:t>
      </w:r>
      <w:r>
        <w:rPr>
          <w:rFonts w:ascii="仿宋" w:hAnsi="仿宋" w:eastAsia="仿宋" w:cs="仿宋"/>
          <w:spacing w:val="15"/>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财政专户管理资金：</w:t>
      </w:r>
      <w:r>
        <w:rPr>
          <w:rFonts w:ascii="仿宋" w:hAnsi="仿宋" w:eastAsia="仿宋" w:cs="仿宋"/>
          <w:spacing w:val="11"/>
          <w:sz w:val="32"/>
          <w:szCs w:val="32"/>
        </w:rPr>
        <w:t>缴入财政专户、实行专项管理的高</w:t>
      </w:r>
      <w:r>
        <w:rPr>
          <w:rFonts w:ascii="仿宋" w:hAnsi="仿宋" w:eastAsia="仿宋" w:cs="仿宋"/>
          <w:spacing w:val="12"/>
          <w:sz w:val="32"/>
          <w:szCs w:val="32"/>
        </w:rPr>
        <w:t>中</w:t>
      </w:r>
      <w:r>
        <w:rPr>
          <w:rFonts w:ascii="仿宋" w:hAnsi="仿宋" w:eastAsia="仿宋" w:cs="仿宋"/>
          <w:spacing w:val="9"/>
          <w:sz w:val="32"/>
          <w:szCs w:val="32"/>
        </w:rPr>
        <w:t>以</w:t>
      </w:r>
      <w:r>
        <w:rPr>
          <w:rFonts w:ascii="仿宋" w:hAnsi="仿宋" w:eastAsia="仿宋" w:cs="仿宋"/>
          <w:spacing w:val="6"/>
          <w:sz w:val="32"/>
          <w:szCs w:val="32"/>
        </w:rPr>
        <w:t>上学费、住宿费、高校委托培养费、函大、电大、夜大及短</w:t>
      </w:r>
      <w:r>
        <w:rPr>
          <w:rFonts w:ascii="仿宋" w:hAnsi="仿宋" w:eastAsia="仿宋" w:cs="仿宋"/>
          <w:spacing w:val="8"/>
          <w:sz w:val="32"/>
          <w:szCs w:val="32"/>
        </w:rPr>
        <w:t>训</w:t>
      </w:r>
      <w:r>
        <w:rPr>
          <w:rFonts w:ascii="仿宋" w:hAnsi="仿宋" w:eastAsia="仿宋" w:cs="仿宋"/>
          <w:spacing w:val="7"/>
          <w:sz w:val="32"/>
          <w:szCs w:val="32"/>
        </w:rPr>
        <w:t>班培训费等教育收费。</w:t>
      </w:r>
    </w:p>
    <w:p>
      <w:pPr>
        <w:keepNext w:val="0"/>
        <w:keepLines w:val="0"/>
        <w:pageBreakBefore w:val="0"/>
        <w:widowControl/>
        <w:wordWrap/>
        <w:overflowPunct/>
        <w:topLinePunct w:val="0"/>
        <w:bidi w:val="0"/>
        <w:adjustRightInd w:val="0"/>
        <w:snapToGrid w:val="0"/>
        <w:spacing w:line="560" w:lineRule="exact"/>
        <w:ind w:right="156" w:firstLine="680"/>
        <w:rPr>
          <w:rFonts w:ascii="仿宋" w:hAnsi="仿宋" w:eastAsia="仿宋" w:cs="仿宋"/>
          <w:sz w:val="32"/>
          <w:szCs w:val="32"/>
        </w:rPr>
      </w:pPr>
      <w:r>
        <w:rPr>
          <w:rFonts w:ascii="仿宋" w:hAnsi="仿宋" w:eastAsia="仿宋" w:cs="仿宋"/>
          <w:spacing w:val="12"/>
          <w:sz w:val="32"/>
          <w:szCs w:val="32"/>
          <w14:textOutline w14:w="5793" w14:cap="sq" w14:cmpd="sng">
            <w14:solidFill>
              <w14:srgbClr w14:val="000000"/>
            </w14:solidFill>
            <w14:prstDash w14:val="solid"/>
            <w14:bevel/>
          </w14:textOutline>
        </w:rPr>
        <w:t>四</w:t>
      </w:r>
      <w:r>
        <w:rPr>
          <w:rFonts w:ascii="仿宋" w:hAnsi="仿宋" w:eastAsia="仿宋" w:cs="仿宋"/>
          <w:spacing w:val="11"/>
          <w:sz w:val="32"/>
          <w:szCs w:val="32"/>
          <w14:textOutline w14:w="5793" w14:cap="sq" w14:cmpd="sng">
            <w14:solidFill>
              <w14:srgbClr w14:val="000000"/>
            </w14:solidFill>
            <w14:prstDash w14:val="solid"/>
            <w14:bevel/>
          </w14:textOutline>
        </w:rPr>
        <w:t>、单位资金：</w:t>
      </w:r>
      <w:r>
        <w:rPr>
          <w:rFonts w:ascii="仿宋" w:hAnsi="仿宋" w:eastAsia="仿宋" w:cs="仿宋"/>
          <w:spacing w:val="11"/>
          <w:sz w:val="32"/>
          <w:szCs w:val="32"/>
        </w:rPr>
        <w:t>除财政拨款收入和财政专户管理资金以外的</w:t>
      </w:r>
      <w:r>
        <w:rPr>
          <w:rFonts w:ascii="仿宋" w:hAnsi="仿宋" w:eastAsia="仿宋" w:cs="仿宋"/>
          <w:spacing w:val="22"/>
          <w:sz w:val="32"/>
          <w:szCs w:val="32"/>
        </w:rPr>
        <w:t>收</w:t>
      </w:r>
      <w:r>
        <w:rPr>
          <w:rFonts w:ascii="仿宋" w:hAnsi="仿宋" w:eastAsia="仿宋" w:cs="仿宋"/>
          <w:spacing w:val="20"/>
          <w:sz w:val="32"/>
          <w:szCs w:val="32"/>
        </w:rPr>
        <w:t>入</w:t>
      </w:r>
      <w:r>
        <w:rPr>
          <w:rFonts w:ascii="仿宋" w:hAnsi="仿宋" w:eastAsia="仿宋" w:cs="仿宋"/>
          <w:spacing w:val="11"/>
          <w:sz w:val="32"/>
          <w:szCs w:val="32"/>
        </w:rPr>
        <w:t>，包括事业收入 (不含教育收费) 、上级补助收入、附属单</w:t>
      </w:r>
      <w:r>
        <w:rPr>
          <w:rFonts w:ascii="仿宋" w:hAnsi="仿宋" w:eastAsia="仿宋" w:cs="仿宋"/>
          <w:spacing w:val="14"/>
          <w:sz w:val="32"/>
          <w:szCs w:val="32"/>
        </w:rPr>
        <w:t>位</w:t>
      </w:r>
      <w:r>
        <w:rPr>
          <w:rFonts w:ascii="仿宋" w:hAnsi="仿宋" w:eastAsia="仿宋" w:cs="仿宋"/>
          <w:spacing w:val="12"/>
          <w:sz w:val="32"/>
          <w:szCs w:val="32"/>
        </w:rPr>
        <w:t>上缴收入、事业单位经营收入及其他收入 (包含债务收入、投</w:t>
      </w:r>
      <w:r>
        <w:rPr>
          <w:rFonts w:ascii="仿宋" w:hAnsi="仿宋" w:eastAsia="仿宋" w:cs="仿宋"/>
          <w:spacing w:val="-16"/>
          <w:sz w:val="32"/>
          <w:szCs w:val="32"/>
        </w:rPr>
        <w:t>资</w:t>
      </w:r>
      <w:r>
        <w:rPr>
          <w:rFonts w:ascii="仿宋" w:hAnsi="仿宋" w:eastAsia="仿宋" w:cs="仿宋"/>
          <w:spacing w:val="-15"/>
          <w:sz w:val="32"/>
          <w:szCs w:val="32"/>
        </w:rPr>
        <w:t>收益等 ) 。</w:t>
      </w:r>
    </w:p>
    <w:p>
      <w:pPr>
        <w:keepNext w:val="0"/>
        <w:keepLines w:val="0"/>
        <w:pageBreakBefore w:val="0"/>
        <w:widowControl/>
        <w:wordWrap/>
        <w:overflowPunct/>
        <w:topLinePunct w:val="0"/>
        <w:bidi w:val="0"/>
        <w:adjustRightInd w:val="0"/>
        <w:snapToGrid w:val="0"/>
        <w:spacing w:line="560" w:lineRule="exact"/>
        <w:ind w:left="25" w:right="158" w:firstLine="629"/>
        <w:rPr>
          <w:rFonts w:ascii="仿宋" w:hAnsi="仿宋" w:eastAsia="仿宋" w:cs="仿宋"/>
          <w:sz w:val="32"/>
          <w:szCs w:val="32"/>
        </w:rPr>
      </w:pPr>
      <w:r>
        <w:rPr>
          <w:rFonts w:ascii="仿宋" w:hAnsi="仿宋" w:eastAsia="仿宋" w:cs="仿宋"/>
          <w:spacing w:val="13"/>
          <w:sz w:val="32"/>
          <w:szCs w:val="32"/>
          <w14:textOutline w14:w="5793" w14:cap="sq" w14:cmpd="sng">
            <w14:solidFill>
              <w14:srgbClr w14:val="000000"/>
            </w14:solidFill>
            <w14:prstDash w14:val="solid"/>
            <w14:bevel/>
          </w14:textOutline>
        </w:rPr>
        <w:t>五</w:t>
      </w:r>
      <w:r>
        <w:rPr>
          <w:rFonts w:ascii="仿宋" w:hAnsi="仿宋" w:eastAsia="仿宋" w:cs="仿宋"/>
          <w:spacing w:val="12"/>
          <w:sz w:val="32"/>
          <w:szCs w:val="32"/>
          <w14:textOutline w14:w="5793" w14:cap="sq" w14:cmpd="sng">
            <w14:solidFill>
              <w14:srgbClr w14:val="000000"/>
            </w14:solidFill>
            <w14:prstDash w14:val="solid"/>
            <w14:bevel/>
          </w14:textOutline>
        </w:rPr>
        <w:t>、基本支出：</w:t>
      </w:r>
      <w:r>
        <w:rPr>
          <w:rFonts w:ascii="仿宋" w:hAnsi="仿宋" w:eastAsia="仿宋" w:cs="仿宋"/>
          <w:spacing w:val="12"/>
          <w:sz w:val="32"/>
          <w:szCs w:val="32"/>
        </w:rPr>
        <w:t>指为保障机构正常运转、完成工作任务而发</w:t>
      </w:r>
      <w:r>
        <w:rPr>
          <w:rFonts w:ascii="仿宋" w:hAnsi="仿宋" w:eastAsia="仿宋" w:cs="仿宋"/>
          <w:sz w:val="32"/>
          <w:szCs w:val="32"/>
        </w:rPr>
        <w:t xml:space="preserve"> </w:t>
      </w:r>
      <w:r>
        <w:rPr>
          <w:rFonts w:ascii="仿宋" w:hAnsi="仿宋" w:eastAsia="仿宋" w:cs="仿宋"/>
          <w:spacing w:val="9"/>
          <w:sz w:val="32"/>
          <w:szCs w:val="32"/>
        </w:rPr>
        <w:t>生</w:t>
      </w:r>
      <w:r>
        <w:rPr>
          <w:rFonts w:ascii="仿宋" w:hAnsi="仿宋" w:eastAsia="仿宋" w:cs="仿宋"/>
          <w:spacing w:val="6"/>
          <w:sz w:val="32"/>
          <w:szCs w:val="32"/>
        </w:rPr>
        <w:t>的人员支出和公用支出。</w:t>
      </w:r>
    </w:p>
    <w:p>
      <w:pPr>
        <w:keepNext w:val="0"/>
        <w:keepLines w:val="0"/>
        <w:pageBreakBefore w:val="0"/>
        <w:widowControl/>
        <w:wordWrap/>
        <w:overflowPunct/>
        <w:topLinePunct w:val="0"/>
        <w:bidi w:val="0"/>
        <w:adjustRightInd w:val="0"/>
        <w:snapToGrid w:val="0"/>
        <w:spacing w:line="560" w:lineRule="exact"/>
        <w:ind w:left="18" w:right="158" w:firstLine="638"/>
        <w:rPr>
          <w:rFonts w:ascii="仿宋" w:hAnsi="仿宋" w:eastAsia="仿宋" w:cs="仿宋"/>
          <w:sz w:val="32"/>
          <w:szCs w:val="32"/>
        </w:rPr>
      </w:pPr>
      <w:r>
        <w:rPr>
          <w:rFonts w:ascii="仿宋" w:hAnsi="仿宋" w:eastAsia="仿宋" w:cs="仿宋"/>
          <w:spacing w:val="12"/>
          <w:sz w:val="32"/>
          <w:szCs w:val="32"/>
          <w14:textOutline w14:w="5793" w14:cap="sq" w14:cmpd="sng">
            <w14:solidFill>
              <w14:srgbClr w14:val="000000"/>
            </w14:solidFill>
            <w14:prstDash w14:val="solid"/>
            <w14:bevel/>
          </w14:textOutline>
        </w:rPr>
        <w:t>六、项目支出：</w:t>
      </w:r>
      <w:r>
        <w:rPr>
          <w:rFonts w:ascii="仿宋" w:hAnsi="仿宋" w:eastAsia="仿宋" w:cs="仿宋"/>
          <w:spacing w:val="12"/>
          <w:sz w:val="32"/>
          <w:szCs w:val="32"/>
        </w:rPr>
        <w:t>指在基本支出之外为完成特定工作任务和</w:t>
      </w:r>
      <w:r>
        <w:rPr>
          <w:rFonts w:ascii="仿宋" w:hAnsi="仿宋" w:eastAsia="仿宋" w:cs="仿宋"/>
          <w:spacing w:val="11"/>
          <w:sz w:val="32"/>
          <w:szCs w:val="32"/>
        </w:rPr>
        <w:t>事</w:t>
      </w:r>
      <w:r>
        <w:rPr>
          <w:rFonts w:ascii="仿宋" w:hAnsi="仿宋" w:eastAsia="仿宋" w:cs="仿宋"/>
          <w:sz w:val="32"/>
          <w:szCs w:val="32"/>
        </w:rPr>
        <w:t xml:space="preserve"> </w:t>
      </w:r>
      <w:r>
        <w:rPr>
          <w:rFonts w:ascii="仿宋" w:hAnsi="仿宋" w:eastAsia="仿宋" w:cs="仿宋"/>
          <w:spacing w:val="7"/>
          <w:sz w:val="32"/>
          <w:szCs w:val="32"/>
        </w:rPr>
        <w:t>业发展目标所发生的支出</w:t>
      </w:r>
      <w:r>
        <w:rPr>
          <w:rFonts w:ascii="仿宋" w:hAnsi="仿宋" w:eastAsia="仿宋" w:cs="仿宋"/>
          <w:spacing w:val="4"/>
          <w:sz w:val="32"/>
          <w:szCs w:val="32"/>
        </w:rPr>
        <w:t>。</w:t>
      </w:r>
    </w:p>
    <w:p>
      <w:pPr>
        <w:keepNext w:val="0"/>
        <w:keepLines w:val="0"/>
        <w:pageBreakBefore w:val="0"/>
        <w:widowControl/>
        <w:wordWrap/>
        <w:overflowPunct/>
        <w:topLinePunct w:val="0"/>
        <w:bidi w:val="0"/>
        <w:adjustRightInd w:val="0"/>
        <w:snapToGrid w:val="0"/>
        <w:spacing w:line="560" w:lineRule="exact"/>
        <w:ind w:left="20" w:right="158" w:firstLine="631"/>
        <w:rPr>
          <w:rFonts w:ascii="仿宋" w:hAnsi="仿宋" w:eastAsia="仿宋" w:cs="仿宋"/>
          <w:sz w:val="32"/>
          <w:szCs w:val="32"/>
        </w:rPr>
      </w:pPr>
      <w:r>
        <w:rPr>
          <w:rFonts w:ascii="仿宋" w:hAnsi="仿宋" w:eastAsia="仿宋" w:cs="仿宋"/>
          <w:spacing w:val="17"/>
          <w:sz w:val="32"/>
          <w:szCs w:val="32"/>
          <w14:textOutline w14:w="5793" w14:cap="sq" w14:cmpd="sng">
            <w14:solidFill>
              <w14:srgbClr w14:val="000000"/>
            </w14:solidFill>
            <w14:prstDash w14:val="solid"/>
            <w14:bevel/>
          </w14:textOutline>
        </w:rPr>
        <w:t>七</w:t>
      </w:r>
      <w:r>
        <w:rPr>
          <w:rFonts w:ascii="仿宋" w:hAnsi="仿宋" w:eastAsia="仿宋" w:cs="仿宋"/>
          <w:spacing w:val="12"/>
          <w:sz w:val="32"/>
          <w:szCs w:val="32"/>
          <w14:textOutline w14:w="5793" w14:cap="sq" w14:cmpd="sng">
            <w14:solidFill>
              <w14:srgbClr w14:val="000000"/>
            </w14:solidFill>
            <w14:prstDash w14:val="solid"/>
            <w14:bevel/>
          </w14:textOutline>
        </w:rPr>
        <w:t>、对个人和家庭的补助：</w:t>
      </w:r>
      <w:r>
        <w:rPr>
          <w:rFonts w:ascii="仿宋" w:hAnsi="仿宋" w:eastAsia="仿宋" w:cs="仿宋"/>
          <w:spacing w:val="12"/>
          <w:sz w:val="32"/>
          <w:szCs w:val="32"/>
        </w:rPr>
        <w:t>是指政府用于对个人和家庭的补</w:t>
      </w:r>
      <w:r>
        <w:rPr>
          <w:rFonts w:ascii="仿宋" w:hAnsi="仿宋" w:eastAsia="仿宋" w:cs="仿宋"/>
          <w:sz w:val="32"/>
          <w:szCs w:val="32"/>
        </w:rPr>
        <w:t xml:space="preserve"> </w:t>
      </w:r>
      <w:r>
        <w:rPr>
          <w:rFonts w:ascii="仿宋" w:hAnsi="仿宋" w:eastAsia="仿宋" w:cs="仿宋"/>
          <w:spacing w:val="1"/>
          <w:sz w:val="32"/>
          <w:szCs w:val="32"/>
        </w:rPr>
        <w:t>助支</w:t>
      </w:r>
      <w:r>
        <w:rPr>
          <w:rFonts w:ascii="仿宋" w:hAnsi="仿宋" w:eastAsia="仿宋" w:cs="仿宋"/>
          <w:sz w:val="32"/>
          <w:szCs w:val="32"/>
        </w:rPr>
        <w:t>出。</w:t>
      </w:r>
    </w:p>
    <w:p>
      <w:pPr>
        <w:keepNext w:val="0"/>
        <w:keepLines w:val="0"/>
        <w:pageBreakBefore w:val="0"/>
        <w:widowControl/>
        <w:wordWrap/>
        <w:overflowPunct/>
        <w:topLinePunct w:val="0"/>
        <w:bidi w:val="0"/>
        <w:adjustRightInd w:val="0"/>
        <w:snapToGrid w:val="0"/>
        <w:spacing w:line="560" w:lineRule="exact"/>
        <w:ind w:firstLine="644" w:firstLineChars="200"/>
        <w:rPr>
          <w:rFonts w:ascii="仿宋" w:hAnsi="仿宋" w:eastAsia="仿宋" w:cs="仿宋"/>
          <w:sz w:val="32"/>
          <w:szCs w:val="32"/>
        </w:rPr>
      </w:pPr>
      <w:r>
        <w:rPr>
          <w:rFonts w:ascii="仿宋" w:hAnsi="仿宋" w:eastAsia="仿宋" w:cs="仿宋"/>
          <w:spacing w:val="1"/>
          <w:sz w:val="32"/>
          <w:szCs w:val="32"/>
          <w14:textOutline w14:w="5793" w14:cap="sq" w14:cmpd="sng">
            <w14:solidFill>
              <w14:srgbClr w14:val="000000"/>
            </w14:solidFill>
            <w14:prstDash w14:val="solid"/>
            <w14:bevel/>
          </w14:textOutline>
        </w:rPr>
        <w:t>八、“三公”经费</w:t>
      </w:r>
      <w:r>
        <w:rPr>
          <w:rFonts w:ascii="仿宋" w:hAnsi="仿宋" w:eastAsia="仿宋" w:cs="仿宋"/>
          <w:sz w:val="32"/>
          <w:szCs w:val="32"/>
          <w14:textOutline w14:w="5793" w14:cap="sq" w14:cmpd="sng">
            <w14:solidFill>
              <w14:srgbClr w14:val="000000"/>
            </w14:solidFill>
            <w14:prstDash w14:val="solid"/>
            <w14:bevel/>
          </w14:textOutline>
        </w:rPr>
        <w:t>：</w:t>
      </w:r>
      <w:r>
        <w:rPr>
          <w:rFonts w:ascii="仿宋" w:hAnsi="仿宋" w:eastAsia="仿宋" w:cs="仿宋"/>
          <w:sz w:val="32"/>
          <w:szCs w:val="32"/>
        </w:rPr>
        <w:t xml:space="preserve">指部门 (单位) 用一般公共预算财政拨 </w:t>
      </w:r>
      <w:r>
        <w:rPr>
          <w:rFonts w:ascii="仿宋" w:hAnsi="仿宋" w:eastAsia="仿宋" w:cs="仿宋"/>
          <w:spacing w:val="22"/>
          <w:sz w:val="32"/>
          <w:szCs w:val="32"/>
        </w:rPr>
        <w:t>款</w:t>
      </w:r>
      <w:r>
        <w:rPr>
          <w:rFonts w:ascii="仿宋" w:hAnsi="仿宋" w:eastAsia="仿宋" w:cs="仿宋"/>
          <w:spacing w:val="15"/>
          <w:sz w:val="32"/>
          <w:szCs w:val="32"/>
        </w:rPr>
        <w:t>安</w:t>
      </w:r>
      <w:r>
        <w:rPr>
          <w:rFonts w:ascii="仿宋" w:hAnsi="仿宋" w:eastAsia="仿宋" w:cs="仿宋"/>
          <w:spacing w:val="11"/>
          <w:sz w:val="32"/>
          <w:szCs w:val="32"/>
        </w:rPr>
        <w:t>排的因公出国 (境) 费、公务用车购置及运行维护费和公务</w:t>
      </w:r>
      <w:r>
        <w:rPr>
          <w:rFonts w:ascii="仿宋" w:hAnsi="仿宋" w:eastAsia="仿宋" w:cs="仿宋"/>
          <w:spacing w:val="2"/>
          <w:sz w:val="32"/>
          <w:szCs w:val="32"/>
        </w:rPr>
        <w:t>接待费</w:t>
      </w:r>
      <w:r>
        <w:rPr>
          <w:rFonts w:ascii="仿宋" w:hAnsi="仿宋" w:eastAsia="仿宋" w:cs="仿宋"/>
          <w:spacing w:val="1"/>
          <w:sz w:val="32"/>
          <w:szCs w:val="32"/>
        </w:rPr>
        <w:t>。其中，因公出国 (境) 费反映部门 (单位)公务出国 (境)</w:t>
      </w:r>
      <w:r>
        <w:rPr>
          <w:rFonts w:ascii="仿宋" w:hAnsi="仿宋" w:eastAsia="仿宋" w:cs="仿宋"/>
          <w:spacing w:val="21"/>
          <w:sz w:val="32"/>
          <w:szCs w:val="32"/>
        </w:rPr>
        <w:t>的</w:t>
      </w:r>
      <w:r>
        <w:rPr>
          <w:rFonts w:ascii="仿宋" w:hAnsi="仿宋" w:eastAsia="仿宋" w:cs="仿宋"/>
          <w:spacing w:val="11"/>
          <w:sz w:val="32"/>
          <w:szCs w:val="32"/>
        </w:rPr>
        <w:t>住宿费、旅费、伙食补助费、杂费、培训费等支出；公务用车</w:t>
      </w:r>
      <w:r>
        <w:rPr>
          <w:rFonts w:ascii="仿宋" w:hAnsi="仿宋" w:eastAsia="仿宋" w:cs="仿宋"/>
          <w:spacing w:val="21"/>
          <w:sz w:val="32"/>
          <w:szCs w:val="32"/>
        </w:rPr>
        <w:t>购</w:t>
      </w:r>
      <w:r>
        <w:rPr>
          <w:rFonts w:ascii="仿宋" w:hAnsi="仿宋" w:eastAsia="仿宋" w:cs="仿宋"/>
          <w:spacing w:val="11"/>
          <w:sz w:val="32"/>
          <w:szCs w:val="32"/>
        </w:rPr>
        <w:t>置及运行维护费反映部门(单位)公务用车购置费、燃料费</w:t>
      </w:r>
      <w:r>
        <w:rPr>
          <w:rFonts w:hint="eastAsia" w:ascii="仿宋" w:hAnsi="仿宋" w:eastAsia="仿宋" w:cs="仿宋"/>
          <w:spacing w:val="11"/>
          <w:sz w:val="32"/>
          <w:szCs w:val="32"/>
          <w:lang w:eastAsia="zh-CN"/>
        </w:rPr>
        <w:t>、</w:t>
      </w:r>
      <w:r>
        <w:rPr>
          <w:rFonts w:ascii="仿宋" w:hAnsi="仿宋" w:eastAsia="仿宋" w:cs="仿宋"/>
          <w:sz w:val="32"/>
          <w:szCs w:val="32"/>
        </w:rPr>
        <w:t xml:space="preserve"> </w:t>
      </w:r>
      <w:r>
        <w:rPr>
          <w:rFonts w:ascii="仿宋" w:hAnsi="仿宋" w:eastAsia="仿宋" w:cs="仿宋"/>
          <w:spacing w:val="16"/>
          <w:sz w:val="32"/>
          <w:szCs w:val="32"/>
        </w:rPr>
        <w:t>维</w:t>
      </w:r>
      <w:r>
        <w:rPr>
          <w:rFonts w:ascii="仿宋" w:hAnsi="仿宋" w:eastAsia="仿宋" w:cs="仿宋"/>
          <w:spacing w:val="12"/>
          <w:sz w:val="32"/>
          <w:szCs w:val="32"/>
        </w:rPr>
        <w:t>修费、过路过桥费、保险费、安全奖励费用等支出；公务接待</w:t>
      </w:r>
      <w:r>
        <w:rPr>
          <w:rFonts w:ascii="仿宋" w:hAnsi="仿宋" w:eastAsia="仿宋" w:cs="仿宋"/>
          <w:spacing w:val="20"/>
          <w:sz w:val="32"/>
          <w:szCs w:val="32"/>
        </w:rPr>
        <w:t>费反</w:t>
      </w:r>
      <w:r>
        <w:rPr>
          <w:rFonts w:ascii="仿宋" w:hAnsi="仿宋" w:eastAsia="仿宋" w:cs="仿宋"/>
          <w:spacing w:val="13"/>
          <w:sz w:val="32"/>
          <w:szCs w:val="32"/>
        </w:rPr>
        <w:t>映</w:t>
      </w:r>
      <w:r>
        <w:rPr>
          <w:rFonts w:ascii="仿宋" w:hAnsi="仿宋" w:eastAsia="仿宋" w:cs="仿宋"/>
          <w:spacing w:val="10"/>
          <w:sz w:val="32"/>
          <w:szCs w:val="32"/>
        </w:rPr>
        <w:t>部门(单位)按规定开支的各类公务接待 (含外宾接待)</w:t>
      </w:r>
      <w:r>
        <w:rPr>
          <w:rFonts w:ascii="仿宋" w:hAnsi="仿宋" w:eastAsia="仿宋" w:cs="仿宋"/>
          <w:sz w:val="32"/>
          <w:szCs w:val="32"/>
        </w:rPr>
        <w:t xml:space="preserve"> 支出。</w:t>
      </w: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九</w:t>
      </w:r>
      <w:r>
        <w:rPr>
          <w:rFonts w:ascii="仿宋" w:hAnsi="仿宋" w:eastAsia="仿宋" w:cs="仿宋"/>
          <w:spacing w:val="15"/>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机构运行经费：</w:t>
      </w:r>
      <w:r>
        <w:rPr>
          <w:rFonts w:ascii="仿宋" w:hAnsi="仿宋" w:eastAsia="仿宋" w:cs="仿宋"/>
          <w:spacing w:val="11"/>
          <w:sz w:val="32"/>
          <w:szCs w:val="32"/>
        </w:rPr>
        <w:t>指部门(单位)使用一般公共预算安排</w:t>
      </w:r>
      <w:r>
        <w:rPr>
          <w:rFonts w:ascii="仿宋" w:hAnsi="仿宋" w:eastAsia="仿宋" w:cs="仿宋"/>
          <w:spacing w:val="8"/>
          <w:sz w:val="32"/>
          <w:szCs w:val="32"/>
        </w:rPr>
        <w:t>的基本支</w:t>
      </w:r>
      <w:r>
        <w:rPr>
          <w:rFonts w:ascii="仿宋" w:hAnsi="仿宋" w:eastAsia="仿宋" w:cs="仿宋"/>
          <w:spacing w:val="6"/>
          <w:sz w:val="32"/>
          <w:szCs w:val="32"/>
        </w:rPr>
        <w:t>出</w:t>
      </w:r>
      <w:r>
        <w:rPr>
          <w:rFonts w:ascii="仿宋" w:hAnsi="仿宋" w:eastAsia="仿宋" w:cs="仿宋"/>
          <w:spacing w:val="4"/>
          <w:sz w:val="32"/>
          <w:szCs w:val="32"/>
        </w:rPr>
        <w:t>中的日常公用经费支出，包括办公及印刷费、邮电费、</w:t>
      </w:r>
      <w:r>
        <w:rPr>
          <w:rFonts w:ascii="仿宋" w:hAnsi="仿宋" w:eastAsia="仿宋" w:cs="仿宋"/>
          <w:spacing w:val="12"/>
          <w:sz w:val="32"/>
          <w:szCs w:val="32"/>
        </w:rPr>
        <w:t>差旅</w:t>
      </w:r>
      <w:r>
        <w:rPr>
          <w:rFonts w:ascii="仿宋" w:hAnsi="仿宋" w:eastAsia="仿宋" w:cs="仿宋"/>
          <w:spacing w:val="11"/>
          <w:sz w:val="32"/>
          <w:szCs w:val="32"/>
        </w:rPr>
        <w:t>费</w:t>
      </w:r>
      <w:r>
        <w:rPr>
          <w:rFonts w:ascii="仿宋" w:hAnsi="仿宋" w:eastAsia="仿宋" w:cs="仿宋"/>
          <w:spacing w:val="6"/>
          <w:sz w:val="32"/>
          <w:szCs w:val="32"/>
        </w:rPr>
        <w:t>、会议费、福利费、日常维修费、专用材料及一般设备购</w:t>
      </w:r>
      <w:r>
        <w:rPr>
          <w:rFonts w:ascii="仿宋" w:hAnsi="仿宋" w:eastAsia="仿宋" w:cs="仿宋"/>
          <w:spacing w:val="8"/>
          <w:sz w:val="32"/>
          <w:szCs w:val="32"/>
        </w:rPr>
        <w:t>置费、办</w:t>
      </w:r>
      <w:r>
        <w:rPr>
          <w:rFonts w:ascii="仿宋" w:hAnsi="仿宋" w:eastAsia="仿宋" w:cs="仿宋"/>
          <w:spacing w:val="6"/>
          <w:sz w:val="32"/>
          <w:szCs w:val="32"/>
        </w:rPr>
        <w:t>公</w:t>
      </w:r>
      <w:r>
        <w:rPr>
          <w:rFonts w:ascii="仿宋" w:hAnsi="仿宋" w:eastAsia="仿宋" w:cs="仿宋"/>
          <w:spacing w:val="4"/>
          <w:sz w:val="32"/>
          <w:szCs w:val="32"/>
        </w:rPr>
        <w:t>用房水电费、办公用房取暖费、办公用房物业管理费、</w:t>
      </w:r>
      <w:r>
        <w:rPr>
          <w:rFonts w:ascii="仿宋" w:hAnsi="仿宋" w:eastAsia="仿宋" w:cs="仿宋"/>
          <w:sz w:val="32"/>
          <w:szCs w:val="32"/>
        </w:rPr>
        <w:t xml:space="preserve"> </w:t>
      </w:r>
      <w:r>
        <w:rPr>
          <w:rFonts w:ascii="仿宋" w:hAnsi="仿宋" w:eastAsia="仿宋" w:cs="仿宋"/>
          <w:spacing w:val="16"/>
          <w:sz w:val="32"/>
          <w:szCs w:val="32"/>
        </w:rPr>
        <w:t>公</w:t>
      </w:r>
      <w:r>
        <w:rPr>
          <w:rFonts w:ascii="仿宋" w:hAnsi="仿宋" w:eastAsia="仿宋" w:cs="仿宋"/>
          <w:spacing w:val="10"/>
          <w:sz w:val="32"/>
          <w:szCs w:val="32"/>
        </w:rPr>
        <w:t>务</w:t>
      </w:r>
      <w:r>
        <w:rPr>
          <w:rFonts w:ascii="仿宋" w:hAnsi="仿宋" w:eastAsia="仿宋" w:cs="仿宋"/>
          <w:spacing w:val="8"/>
          <w:sz w:val="32"/>
          <w:szCs w:val="32"/>
        </w:rPr>
        <w:t>用车运行维护费及其他费用等。</w:t>
      </w:r>
    </w:p>
    <w:p>
      <w:pPr>
        <w:keepNext w:val="0"/>
        <w:keepLines w:val="0"/>
        <w:pageBreakBefore w:val="0"/>
        <w:widowControl/>
        <w:wordWrap/>
        <w:overflowPunct/>
        <w:topLinePunct w:val="0"/>
        <w:bidi w:val="0"/>
        <w:adjustRightInd w:val="0"/>
        <w:snapToGrid w:val="0"/>
        <w:spacing w:line="560" w:lineRule="exact"/>
        <w:ind w:left="919"/>
        <w:outlineLvl w:val="1"/>
        <w:rPr>
          <w:rFonts w:ascii="微软雅黑" w:hAnsi="微软雅黑" w:eastAsia="微软雅黑" w:cs="微软雅黑"/>
          <w:spacing w:val="20"/>
          <w:sz w:val="32"/>
          <w:szCs w:val="32"/>
        </w:rPr>
      </w:pPr>
      <w:bookmarkStart w:id="2" w:name="_bookmark14"/>
      <w:bookmarkEnd w:id="2"/>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pStyle w:val="3"/>
        <w:rPr>
          <w:rFonts w:ascii="微软雅黑" w:hAnsi="微软雅黑" w:eastAsia="微软雅黑" w:cs="微软雅黑"/>
          <w:spacing w:val="20"/>
          <w:sz w:val="32"/>
          <w:szCs w:val="32"/>
        </w:rPr>
      </w:pPr>
    </w:p>
    <w:p>
      <w:pPr>
        <w:keepNext w:val="0"/>
        <w:keepLines w:val="0"/>
        <w:pageBreakBefore w:val="0"/>
        <w:widowControl/>
        <w:wordWrap/>
        <w:overflowPunct/>
        <w:topLinePunct w:val="0"/>
        <w:bidi w:val="0"/>
        <w:adjustRightInd w:val="0"/>
        <w:snapToGrid w:val="0"/>
        <w:spacing w:line="560" w:lineRule="exact"/>
        <w:ind w:left="919" w:firstLine="360" w:firstLineChars="100"/>
        <w:outlineLvl w:val="1"/>
        <w:rPr>
          <w:rFonts w:ascii="微软雅黑" w:hAnsi="微软雅黑" w:eastAsia="微软雅黑" w:cs="微软雅黑"/>
          <w:spacing w:val="20"/>
          <w:sz w:val="32"/>
          <w:szCs w:val="32"/>
        </w:rPr>
      </w:pPr>
    </w:p>
    <w:p>
      <w:pPr>
        <w:keepNext w:val="0"/>
        <w:keepLines w:val="0"/>
        <w:pageBreakBefore w:val="0"/>
        <w:widowControl/>
        <w:wordWrap/>
        <w:overflowPunct/>
        <w:topLinePunct w:val="0"/>
        <w:bidi w:val="0"/>
        <w:adjustRightInd w:val="0"/>
        <w:snapToGrid w:val="0"/>
        <w:spacing w:line="560" w:lineRule="exact"/>
        <w:ind w:left="919" w:firstLine="360" w:firstLineChars="100"/>
        <w:outlineLvl w:val="1"/>
        <w:rPr>
          <w:rFonts w:ascii="微软雅黑" w:hAnsi="微软雅黑" w:eastAsia="微软雅黑" w:cs="微软雅黑"/>
          <w:sz w:val="32"/>
          <w:szCs w:val="32"/>
        </w:rPr>
      </w:pPr>
      <w:r>
        <w:rPr>
          <w:rFonts w:ascii="微软雅黑" w:hAnsi="微软雅黑" w:eastAsia="微软雅黑" w:cs="微软雅黑"/>
          <w:spacing w:val="20"/>
          <w:sz w:val="32"/>
          <w:szCs w:val="32"/>
        </w:rPr>
        <w:t>第</w:t>
      </w:r>
      <w:r>
        <w:rPr>
          <w:rFonts w:ascii="微软雅黑" w:hAnsi="微软雅黑" w:eastAsia="微软雅黑" w:cs="微软雅黑"/>
          <w:spacing w:val="12"/>
          <w:sz w:val="32"/>
          <w:szCs w:val="32"/>
        </w:rPr>
        <w:t>四</w:t>
      </w:r>
      <w:r>
        <w:rPr>
          <w:rFonts w:ascii="微软雅黑" w:hAnsi="微软雅黑" w:eastAsia="微软雅黑" w:cs="微软雅黑"/>
          <w:spacing w:val="10"/>
          <w:sz w:val="32"/>
          <w:szCs w:val="32"/>
        </w:rPr>
        <w:t>部分   预算公开联系方式及信息反馈渠道</w:t>
      </w:r>
    </w:p>
    <w:p>
      <w:pPr>
        <w:keepNext w:val="0"/>
        <w:keepLines w:val="0"/>
        <w:pageBreakBefore w:val="0"/>
        <w:widowControl/>
        <w:wordWrap/>
        <w:overflowPunct/>
        <w:topLinePunct w:val="0"/>
        <w:bidi w:val="0"/>
        <w:adjustRightInd w:val="0"/>
        <w:snapToGrid w:val="0"/>
        <w:spacing w:line="560" w:lineRule="exact"/>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pacing w:val="6"/>
          <w:sz w:val="32"/>
          <w:szCs w:val="32"/>
        </w:rPr>
      </w:pP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pacing w:val="6"/>
          <w:sz w:val="32"/>
          <w:szCs w:val="32"/>
        </w:rPr>
      </w:pPr>
      <w:r>
        <w:rPr>
          <w:rFonts w:ascii="仿宋" w:hAnsi="仿宋" w:eastAsia="仿宋" w:cs="仿宋"/>
          <w:spacing w:val="6"/>
          <w:sz w:val="32"/>
          <w:szCs w:val="32"/>
        </w:rPr>
        <w:t>本单位预算公开信息反馈和联系方式：</w:t>
      </w:r>
    </w:p>
    <w:p>
      <w:pPr>
        <w:keepNext w:val="0"/>
        <w:keepLines w:val="0"/>
        <w:pageBreakBefore w:val="0"/>
        <w:widowControl/>
        <w:wordWrap/>
        <w:overflowPunct/>
        <w:topLinePunct w:val="0"/>
        <w:bidi w:val="0"/>
        <w:adjustRightInd w:val="0"/>
        <w:snapToGrid w:val="0"/>
        <w:spacing w:line="560" w:lineRule="exact"/>
        <w:ind w:left="643"/>
        <w:rPr>
          <w:rFonts w:hint="eastAsia" w:ascii="仿宋" w:hAnsi="仿宋" w:eastAsia="仿宋" w:cs="仿宋"/>
          <w:spacing w:val="-6"/>
          <w:sz w:val="32"/>
          <w:szCs w:val="32"/>
          <w:lang w:val="en-US" w:eastAsia="zh-CN"/>
        </w:rPr>
      </w:pPr>
      <w:r>
        <w:rPr>
          <w:rFonts w:ascii="仿宋" w:hAnsi="仿宋" w:eastAsia="仿宋" w:cs="仿宋"/>
          <w:spacing w:val="-12"/>
          <w:sz w:val="32"/>
          <w:szCs w:val="32"/>
        </w:rPr>
        <w:t>联</w:t>
      </w:r>
      <w:r>
        <w:rPr>
          <w:rFonts w:ascii="仿宋" w:hAnsi="仿宋" w:eastAsia="仿宋" w:cs="仿宋"/>
          <w:spacing w:val="-11"/>
          <w:sz w:val="32"/>
          <w:szCs w:val="32"/>
        </w:rPr>
        <w:t>系</w:t>
      </w:r>
      <w:r>
        <w:rPr>
          <w:rFonts w:ascii="仿宋" w:hAnsi="仿宋" w:eastAsia="仿宋" w:cs="仿宋"/>
          <w:spacing w:val="-6"/>
          <w:sz w:val="32"/>
          <w:szCs w:val="32"/>
        </w:rPr>
        <w:t>人：</w:t>
      </w:r>
      <w:r>
        <w:rPr>
          <w:rFonts w:hint="eastAsia" w:ascii="仿宋" w:hAnsi="仿宋" w:eastAsia="仿宋" w:cs="仿宋"/>
          <w:spacing w:val="-6"/>
          <w:sz w:val="32"/>
          <w:szCs w:val="32"/>
          <w:lang w:val="en-US" w:eastAsia="zh-CN"/>
        </w:rPr>
        <w:t>田丰</w:t>
      </w:r>
      <w:r>
        <w:rPr>
          <w:rFonts w:ascii="仿宋" w:hAnsi="仿宋" w:eastAsia="仿宋" w:cs="仿宋"/>
          <w:spacing w:val="-6"/>
          <w:sz w:val="32"/>
          <w:szCs w:val="32"/>
        </w:rPr>
        <w:t xml:space="preserve">                 联系电话：</w:t>
      </w:r>
      <w:r>
        <w:rPr>
          <w:rFonts w:hint="eastAsia" w:ascii="仿宋" w:hAnsi="仿宋" w:eastAsia="仿宋" w:cs="仿宋"/>
          <w:spacing w:val="-6"/>
          <w:sz w:val="32"/>
          <w:szCs w:val="32"/>
          <w:lang w:val="en-US" w:eastAsia="zh-CN"/>
        </w:rPr>
        <w:t>0478-4260179</w:t>
      </w:r>
    </w:p>
    <w:p>
      <w:pPr>
        <w:tabs>
          <w:tab w:val="left" w:pos="4981"/>
        </w:tabs>
        <w:bidi w:val="0"/>
        <w:jc w:val="left"/>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pStyle w:val="3"/>
        <w:rPr>
          <w:rFonts w:hint="eastAsia" w:eastAsia="宋体"/>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016" w:firstLineChars="600"/>
        <w:textAlignment w:val="baseline"/>
        <w:rPr>
          <w:rFonts w:ascii="黑体" w:hAnsi="黑体" w:eastAsia="黑体" w:cs="黑体"/>
          <w:spacing w:val="8"/>
          <w:sz w:val="32"/>
          <w:szCs w:val="32"/>
        </w:rPr>
      </w:pPr>
      <w:r>
        <w:rPr>
          <w:rFonts w:ascii="黑体" w:hAnsi="黑体" w:eastAsia="黑体" w:cs="黑体"/>
          <w:spacing w:val="8"/>
          <w:sz w:val="32"/>
          <w:szCs w:val="32"/>
        </w:rPr>
        <w:t>第五部分</w:t>
      </w:r>
      <w:r>
        <w:rPr>
          <w:rFonts w:hint="eastAsia" w:ascii="黑体" w:hAnsi="黑体" w:eastAsia="黑体" w:cs="黑体"/>
          <w:spacing w:val="8"/>
          <w:sz w:val="32"/>
          <w:szCs w:val="32"/>
          <w:lang w:val="en-US" w:eastAsia="zh-CN"/>
        </w:rPr>
        <w:t xml:space="preserve"> 2023</w:t>
      </w:r>
      <w:r>
        <w:rPr>
          <w:rFonts w:ascii="黑体" w:hAnsi="黑体" w:eastAsia="黑体" w:cs="黑体"/>
          <w:spacing w:val="8"/>
          <w:sz w:val="32"/>
          <w:szCs w:val="32"/>
        </w:rPr>
        <w:t>年度部门预算表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十、项目支出表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十一、项目绩效目标表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十二、政府采购预算表</w:t>
      </w:r>
    </w:p>
    <w:p>
      <w:pPr>
        <w:pStyle w:val="3"/>
        <w:rPr>
          <w:rFonts w:hint="eastAsia" w:eastAsia="宋体"/>
          <w:lang w:eastAsia="zh-CN"/>
        </w:rPr>
      </w:pPr>
    </w:p>
    <w:sectPr>
      <w:footerReference r:id="rId3" w:type="default"/>
      <w:pgSz w:w="11906" w:h="16839"/>
      <w:pgMar w:top="1315" w:right="1412" w:bottom="1344" w:left="1412" w:header="0" w:footer="1185"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831"/>
      <w:rPr>
        <w:rFonts w:ascii="Arial" w:hAnsi="Arial" w:eastAsia="Arial" w:cs="Arial"/>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C3479"/>
    <w:multiLevelType w:val="singleLevel"/>
    <w:tmpl w:val="B96C3479"/>
    <w:lvl w:ilvl="0" w:tentative="0">
      <w:start w:val="2"/>
      <w:numFmt w:val="chineseCounting"/>
      <w:suff w:val="space"/>
      <w:lvlText w:val="第%1部分"/>
      <w:lvlJc w:val="left"/>
      <w:rPr>
        <w:rFonts w:hint="eastAsia"/>
      </w:rPr>
    </w:lvl>
  </w:abstractNum>
  <w:abstractNum w:abstractNumId="1">
    <w:nsid w:val="E4A2BD62"/>
    <w:multiLevelType w:val="singleLevel"/>
    <w:tmpl w:val="E4A2BD62"/>
    <w:lvl w:ilvl="0" w:tentative="0">
      <w:start w:val="11"/>
      <w:numFmt w:val="chineseCounting"/>
      <w:suff w:val="nothing"/>
      <w:lvlText w:val="%1、"/>
      <w:lvlJc w:val="left"/>
      <w:rPr>
        <w:rFonts w:hint="eastAsia"/>
      </w:rPr>
    </w:lvl>
  </w:abstractNum>
  <w:abstractNum w:abstractNumId="2">
    <w:nsid w:val="198081BA"/>
    <w:multiLevelType w:val="singleLevel"/>
    <w:tmpl w:val="198081BA"/>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kzZDAyMWM4MDA2OGVmNTI4ZjVjMDBmODRjNzk4ZTgifQ=="/>
  </w:docVars>
  <w:rsids>
    <w:rsidRoot w:val="00000000"/>
    <w:rsid w:val="022D3CD0"/>
    <w:rsid w:val="028A1D69"/>
    <w:rsid w:val="04B9117B"/>
    <w:rsid w:val="05A94AB8"/>
    <w:rsid w:val="061F1A0D"/>
    <w:rsid w:val="084248F1"/>
    <w:rsid w:val="088B7539"/>
    <w:rsid w:val="0A4F76B2"/>
    <w:rsid w:val="0A9F5364"/>
    <w:rsid w:val="0D240982"/>
    <w:rsid w:val="0D91170E"/>
    <w:rsid w:val="0E336BEF"/>
    <w:rsid w:val="0F275C39"/>
    <w:rsid w:val="0F8705B9"/>
    <w:rsid w:val="14BF4FE6"/>
    <w:rsid w:val="18FA447D"/>
    <w:rsid w:val="1B7D7315"/>
    <w:rsid w:val="1BED5825"/>
    <w:rsid w:val="1DAF1112"/>
    <w:rsid w:val="1DD06E3C"/>
    <w:rsid w:val="237D3E6B"/>
    <w:rsid w:val="25D3683F"/>
    <w:rsid w:val="290170C7"/>
    <w:rsid w:val="2AB13C2E"/>
    <w:rsid w:val="2AD4524F"/>
    <w:rsid w:val="2B633863"/>
    <w:rsid w:val="2DE60F72"/>
    <w:rsid w:val="2FF10C39"/>
    <w:rsid w:val="3138213D"/>
    <w:rsid w:val="31F440ED"/>
    <w:rsid w:val="337F0567"/>
    <w:rsid w:val="35700204"/>
    <w:rsid w:val="36A57D12"/>
    <w:rsid w:val="39BD1693"/>
    <w:rsid w:val="3A712BA9"/>
    <w:rsid w:val="3A7B2781"/>
    <w:rsid w:val="3F2C00B1"/>
    <w:rsid w:val="40DC0747"/>
    <w:rsid w:val="42333D2B"/>
    <w:rsid w:val="494D05B1"/>
    <w:rsid w:val="496D09DF"/>
    <w:rsid w:val="4B1E7DD3"/>
    <w:rsid w:val="4BFE3B7A"/>
    <w:rsid w:val="4C600AF0"/>
    <w:rsid w:val="4DA4435C"/>
    <w:rsid w:val="4E872967"/>
    <w:rsid w:val="509D7958"/>
    <w:rsid w:val="54D10E31"/>
    <w:rsid w:val="574F1ACC"/>
    <w:rsid w:val="57CD648B"/>
    <w:rsid w:val="5C6A497E"/>
    <w:rsid w:val="5D4B2FDE"/>
    <w:rsid w:val="5E565A8E"/>
    <w:rsid w:val="5FE84E0C"/>
    <w:rsid w:val="6235543A"/>
    <w:rsid w:val="62C531E2"/>
    <w:rsid w:val="63F41F91"/>
    <w:rsid w:val="64047476"/>
    <w:rsid w:val="66CC7BF1"/>
    <w:rsid w:val="673B7A94"/>
    <w:rsid w:val="6A3D30AF"/>
    <w:rsid w:val="6C762A2B"/>
    <w:rsid w:val="6CDE66F0"/>
    <w:rsid w:val="71033854"/>
    <w:rsid w:val="720C7A68"/>
    <w:rsid w:val="73294D85"/>
    <w:rsid w:val="733A71EA"/>
    <w:rsid w:val="744E48A8"/>
    <w:rsid w:val="7496678D"/>
    <w:rsid w:val="753071A2"/>
    <w:rsid w:val="75E35A02"/>
    <w:rsid w:val="763D13EA"/>
    <w:rsid w:val="769D2573"/>
    <w:rsid w:val="76AE24B4"/>
    <w:rsid w:val="773F1AF5"/>
    <w:rsid w:val="798A7734"/>
    <w:rsid w:val="7B830414"/>
    <w:rsid w:val="7DC97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Body Text First Indent1"/>
    <w:basedOn w:val="9"/>
    <w:qFormat/>
    <w:uiPriority w:val="0"/>
    <w:pPr>
      <w:ind w:firstLine="100" w:firstLineChars="100"/>
    </w:pPr>
  </w:style>
  <w:style w:type="paragraph" w:customStyle="1" w:styleId="9">
    <w:name w:val="Body Text1"/>
    <w:basedOn w:val="1"/>
    <w:qFormat/>
    <w:uiPriority w:val="0"/>
    <w:rPr>
      <w:b/>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mn-lt"/>
                        <a:ea typeface="+mn-ea"/>
                        <a:cs typeface="+mn-cs"/>
                      </a:defRPr>
                    </a:pPr>
                    <a:r>
                      <a:rPr sz="1200"/>
                      <a:t>本年收入</a:t>
                    </a:r>
                    <a:endParaRPr sz="1200"/>
                  </a:p>
                  <a:p>
                    <a:pPr defTabSz="914400">
                      <a:defRPr lang="zh-CN" sz="1200" b="0" i="0" u="none" strike="noStrike" kern="1200" baseline="0">
                        <a:solidFill>
                          <a:schemeClr val="tx1">
                            <a:lumMod val="75000"/>
                            <a:lumOff val="25000"/>
                          </a:schemeClr>
                        </a:solidFill>
                        <a:latin typeface="+mn-lt"/>
                        <a:ea typeface="+mn-ea"/>
                        <a:cs typeface="+mn-cs"/>
                      </a:defRPr>
                    </a:pPr>
                    <a:r>
                      <a:rPr sz="1200"/>
                      <a:t>100%</a:t>
                    </a:r>
                    <a:endParaRPr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[工作簿1]Sheet1!$A$4:$A$5</c:f>
              <c:strCache>
                <c:ptCount val="2"/>
                <c:pt idx="0">
                  <c:v>本年收入</c:v>
                </c:pt>
                <c:pt idx="1">
                  <c:v>上年结转结余</c:v>
                </c:pt>
              </c:strCache>
            </c:strRef>
          </c:cat>
          <c:val>
            <c:numRef>
              <c:f>[工作簿1]Sheet1!$B$4:$B$5</c:f>
              <c:numCache>
                <c:formatCode>0%</c:formatCode>
                <c:ptCount val="2"/>
                <c:pt idx="0">
                  <c:v>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0.9777</c:v>
                </c:pt>
                <c:pt idx="1">
                  <c:v>0.0223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6771</Words>
  <Characters>7245</Characters>
  <TotalTime>17</TotalTime>
  <ScaleCrop>false</ScaleCrop>
  <LinksUpToDate>false</LinksUpToDate>
  <CharactersWithSpaces>7375</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2023-02-02T15:02:00Z</dcterms:created>
  <dc:creator>Richard Meng</dc:creator>
  <cp:lastModifiedBy>Administrator</cp:lastModifiedBy>
  <cp:lastPrinted>2023-06-25T03:05:00Z</cp:lastPrinted>
  <dcterms:modified xsi:type="dcterms:W3CDTF">2025-02-28T09:23:22Z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2023-04-13T08:37:46Z</vt:filetime>
  </property>
  <property fmtid="{D5CDD505-2E9C-101B-9397-08002B2CF9AE}" pid="4" name="KSOProductBuildVer">
    <vt:lpwstr>2052-11.8.2.8053</vt:lpwstr>
  </property>
  <property fmtid="{D5CDD505-2E9C-101B-9397-08002B2CF9AE}" pid="5" name="ICV">
    <vt:lpwstr>378E05B6ADC347AFBB0823FE2BD638B6_13</vt:lpwstr>
  </property>
</Properties>
</file>